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eastAsiaTheme="minorEastAsia" w:hAnsiTheme="minorHAnsi" w:cstheme="minorBidi"/>
          <w:b w:val="0"/>
          <w:bCs w:val="0"/>
          <w:color w:val="auto"/>
          <w:sz w:val="2"/>
          <w:szCs w:val="2"/>
        </w:rPr>
        <w:id w:val="89512093"/>
        <w:lock w:val="sdtContentLocked"/>
        <w:group/>
      </w:sdtPr>
      <w:sdtEndPr/>
      <w:sdtContent>
        <w:sdt>
          <w:sdtPr>
            <w:alias w:val="Post Title"/>
            <w:id w:val="89512082"/>
            <w:placeholder>
              <w:docPart w:val="89512082"/>
            </w:placeholder>
            <w:dataBinding w:xpath="/ns0:BlogPostInfo/ns0:PostTitle" w:storeItemID="{5F329CAD-B019-4FA6-9FEF-74898909AD20}"/>
            <w:text/>
          </w:sdtPr>
          <w:sdtEndPr/>
          <w:sdtContent>
            <w:p w:rsidR="006E1DEB" w:rsidRPr="002F1CB6" w:rsidRDefault="002F1CB6">
              <w:pPr>
                <w:pStyle w:val="Publishwithline"/>
              </w:pPr>
              <w:r w:rsidRPr="002F1CB6">
                <w:t>Westpac</w:t>
              </w:r>
              <w:r w:rsidR="002521AA">
                <w:t>’s</w:t>
              </w:r>
              <w:r w:rsidRPr="002F1CB6">
                <w:t xml:space="preserve"> </w:t>
              </w:r>
              <w:r w:rsidR="002521AA">
                <w:t xml:space="preserve">‘Currency-Picker’ </w:t>
              </w:r>
              <w:r w:rsidRPr="002F1CB6">
                <w:t>Continue</w:t>
              </w:r>
              <w:r w:rsidR="002521AA">
                <w:t>s</w:t>
              </w:r>
              <w:r w:rsidRPr="002F1CB6">
                <w:t xml:space="preserve"> to Advocate Holding Aussie</w:t>
              </w:r>
              <w:r>
                <w:t xml:space="preserve"> Dollar </w:t>
              </w:r>
            </w:p>
          </w:sdtContent>
        </w:sdt>
        <w:p w:rsidR="006E1DEB" w:rsidRDefault="006E1DEB">
          <w:pPr>
            <w:pStyle w:val="underline"/>
          </w:pPr>
        </w:p>
        <w:p w:rsidR="006E1DEB" w:rsidRDefault="001F5ECD">
          <w:pPr>
            <w:pStyle w:val="PadderBetweenControlandBody"/>
          </w:pPr>
        </w:p>
      </w:sdtContent>
    </w:sdt>
    <w:p w:rsidR="006E1DEB" w:rsidRPr="0013052F" w:rsidRDefault="002F1CB6">
      <w:pPr>
        <w:rPr>
          <w:sz w:val="28"/>
          <w:szCs w:val="28"/>
        </w:rPr>
      </w:pPr>
      <w:r w:rsidRPr="0013052F">
        <w:rPr>
          <w:sz w:val="28"/>
          <w:szCs w:val="28"/>
        </w:rPr>
        <w:t xml:space="preserve">Aussie lender Westpac’s </w:t>
      </w:r>
      <w:r w:rsidR="002521AA" w:rsidRPr="0013052F">
        <w:rPr>
          <w:sz w:val="28"/>
          <w:szCs w:val="28"/>
        </w:rPr>
        <w:t xml:space="preserve">currency attribution </w:t>
      </w:r>
      <w:r w:rsidRPr="0013052F">
        <w:rPr>
          <w:sz w:val="28"/>
          <w:szCs w:val="28"/>
        </w:rPr>
        <w:t xml:space="preserve">model continues to </w:t>
      </w:r>
      <w:r w:rsidR="002521AA" w:rsidRPr="0013052F">
        <w:rPr>
          <w:sz w:val="28"/>
          <w:szCs w:val="28"/>
        </w:rPr>
        <w:t>favour the</w:t>
      </w:r>
      <w:r w:rsidRPr="0013052F">
        <w:rPr>
          <w:sz w:val="28"/>
          <w:szCs w:val="28"/>
        </w:rPr>
        <w:t xml:space="preserve"> Australian dollar</w:t>
      </w:r>
    </w:p>
    <w:p w:rsidR="002F1CB6" w:rsidRPr="0013052F" w:rsidRDefault="002F1CB6">
      <w:pPr>
        <w:rPr>
          <w:sz w:val="28"/>
          <w:szCs w:val="28"/>
        </w:rPr>
      </w:pPr>
    </w:p>
    <w:p w:rsidR="002F1CB6" w:rsidRPr="0013052F" w:rsidRDefault="002F1CB6">
      <w:pPr>
        <w:rPr>
          <w:sz w:val="28"/>
          <w:szCs w:val="28"/>
        </w:rPr>
      </w:pPr>
      <w:r w:rsidRPr="0013052F">
        <w:rPr>
          <w:sz w:val="28"/>
          <w:szCs w:val="28"/>
        </w:rPr>
        <w:t>Analysts at Westpac have a clever model which allocates a hypothetical portfolio of G10 currencies</w:t>
      </w:r>
      <w:r w:rsidR="002521AA" w:rsidRPr="0013052F">
        <w:rPr>
          <w:sz w:val="28"/>
          <w:szCs w:val="28"/>
        </w:rPr>
        <w:t xml:space="preserve"> differing</w:t>
      </w:r>
      <w:r w:rsidRPr="0013052F">
        <w:rPr>
          <w:sz w:val="28"/>
          <w:szCs w:val="28"/>
        </w:rPr>
        <w:t xml:space="preserve"> shares depending on which currencies it has determined will go up or down. </w:t>
      </w:r>
    </w:p>
    <w:p w:rsidR="002F1CB6" w:rsidRPr="0013052F" w:rsidRDefault="002F1CB6">
      <w:pPr>
        <w:rPr>
          <w:sz w:val="28"/>
          <w:szCs w:val="28"/>
        </w:rPr>
      </w:pPr>
      <w:r w:rsidRPr="0013052F">
        <w:rPr>
          <w:sz w:val="28"/>
          <w:szCs w:val="28"/>
        </w:rPr>
        <w:t>The model uses a variety of econometric</w:t>
      </w:r>
      <w:r w:rsidR="00847F3B">
        <w:rPr>
          <w:sz w:val="28"/>
          <w:szCs w:val="28"/>
        </w:rPr>
        <w:t>, valuation</w:t>
      </w:r>
      <w:r w:rsidRPr="0013052F">
        <w:rPr>
          <w:sz w:val="28"/>
          <w:szCs w:val="28"/>
        </w:rPr>
        <w:t xml:space="preserve"> and technical data to decide what percentage share of the portfolio should be allocated to each currency. </w:t>
      </w:r>
    </w:p>
    <w:p w:rsidR="002521AA" w:rsidRPr="0013052F" w:rsidRDefault="002F1CB6">
      <w:pPr>
        <w:rPr>
          <w:sz w:val="28"/>
          <w:szCs w:val="28"/>
        </w:rPr>
      </w:pPr>
      <w:r w:rsidRPr="0013052F">
        <w:rPr>
          <w:sz w:val="28"/>
          <w:szCs w:val="28"/>
        </w:rPr>
        <w:t>In the most recen</w:t>
      </w:r>
      <w:r w:rsidR="002521AA" w:rsidRPr="0013052F">
        <w:rPr>
          <w:sz w:val="28"/>
          <w:szCs w:val="28"/>
        </w:rPr>
        <w:t xml:space="preserve">t week the Aussie dollar remained the currency with the largest share. </w:t>
      </w:r>
    </w:p>
    <w:p w:rsidR="002F1CB6" w:rsidRPr="0013052F" w:rsidRDefault="002521AA">
      <w:pPr>
        <w:rPr>
          <w:sz w:val="28"/>
          <w:szCs w:val="28"/>
        </w:rPr>
      </w:pPr>
      <w:r w:rsidRPr="0013052F">
        <w:rPr>
          <w:sz w:val="28"/>
          <w:szCs w:val="28"/>
        </w:rPr>
        <w:t>It was</w:t>
      </w:r>
      <w:r w:rsidR="002F1CB6" w:rsidRPr="0013052F">
        <w:rPr>
          <w:sz w:val="28"/>
          <w:szCs w:val="28"/>
        </w:rPr>
        <w:t xml:space="preserve"> a “core bet for the model,” with 22.7% of the portfolio in Australian dollars</w:t>
      </w:r>
      <w:r w:rsidRPr="0013052F">
        <w:rPr>
          <w:sz w:val="28"/>
          <w:szCs w:val="28"/>
        </w:rPr>
        <w:t xml:space="preserve">, according to </w:t>
      </w:r>
      <w:r w:rsidRPr="0013052F">
        <w:rPr>
          <w:rFonts w:ascii="Arial" w:hAnsi="Arial" w:cs="Arial"/>
          <w:color w:val="000000"/>
          <w:sz w:val="28"/>
          <w:szCs w:val="28"/>
        </w:rPr>
        <w:t xml:space="preserve">Westpac’s Richard </w:t>
      </w:r>
      <w:proofErr w:type="spellStart"/>
      <w:r w:rsidRPr="0013052F">
        <w:rPr>
          <w:rFonts w:ascii="Arial" w:hAnsi="Arial" w:cs="Arial"/>
          <w:color w:val="000000"/>
          <w:sz w:val="28"/>
          <w:szCs w:val="28"/>
        </w:rPr>
        <w:t>Franulovich</w:t>
      </w:r>
      <w:proofErr w:type="spellEnd"/>
      <w:r w:rsidRPr="0013052F">
        <w:rPr>
          <w:rFonts w:ascii="Arial" w:hAnsi="Arial" w:cs="Arial"/>
          <w:color w:val="000000"/>
          <w:sz w:val="28"/>
          <w:szCs w:val="28"/>
        </w:rPr>
        <w:t xml:space="preserve">, who added: </w:t>
      </w:r>
      <w:r w:rsidR="002F1CB6" w:rsidRPr="0013052F">
        <w:rPr>
          <w:sz w:val="28"/>
          <w:szCs w:val="28"/>
        </w:rPr>
        <w:t xml:space="preserve"> </w:t>
      </w:r>
    </w:p>
    <w:p w:rsidR="002521AA" w:rsidRPr="0013052F" w:rsidRDefault="002F1CB6">
      <w:pPr>
        <w:rPr>
          <w:rFonts w:ascii="Arial" w:hAnsi="Arial" w:cs="Arial"/>
          <w:color w:val="000000"/>
          <w:sz w:val="28"/>
          <w:szCs w:val="28"/>
        </w:rPr>
      </w:pPr>
      <w:r w:rsidRPr="0013052F">
        <w:rPr>
          <w:sz w:val="28"/>
          <w:szCs w:val="28"/>
        </w:rPr>
        <w:t>“</w:t>
      </w:r>
      <w:r w:rsidRPr="0013052F">
        <w:rPr>
          <w:rFonts w:ascii="Arial" w:hAnsi="Arial" w:cs="Arial"/>
          <w:color w:val="000000"/>
          <w:sz w:val="28"/>
          <w:szCs w:val="28"/>
        </w:rPr>
        <w:t>The Westpac G10 FX model continues to advocate a risk positive stance, the portfolio still heavily long</w:t>
      </w:r>
      <w:r w:rsidR="002521AA" w:rsidRPr="0013052F">
        <w:rPr>
          <w:rFonts w:ascii="Arial" w:hAnsi="Arial" w:cs="Arial"/>
          <w:color w:val="000000"/>
          <w:sz w:val="28"/>
          <w:szCs w:val="28"/>
        </w:rPr>
        <w:t xml:space="preserve"> AUD (+22.7% of the portfolio).</w:t>
      </w:r>
    </w:p>
    <w:p w:rsidR="002521AA" w:rsidRPr="0013052F" w:rsidRDefault="002521AA">
      <w:pPr>
        <w:rPr>
          <w:rFonts w:ascii="Arial" w:hAnsi="Arial" w:cs="Arial"/>
          <w:color w:val="000000"/>
          <w:sz w:val="28"/>
          <w:szCs w:val="28"/>
        </w:rPr>
      </w:pPr>
      <w:r w:rsidRPr="0013052F">
        <w:rPr>
          <w:rFonts w:ascii="Arial" w:hAnsi="Arial" w:cs="Arial"/>
          <w:color w:val="000000"/>
          <w:sz w:val="28"/>
          <w:szCs w:val="28"/>
        </w:rPr>
        <w:t>“</w:t>
      </w:r>
      <w:r w:rsidR="002F1CB6" w:rsidRPr="0013052F">
        <w:rPr>
          <w:rFonts w:ascii="Arial" w:hAnsi="Arial" w:cs="Arial"/>
          <w:color w:val="000000"/>
          <w:sz w:val="28"/>
          <w:szCs w:val="28"/>
        </w:rPr>
        <w:t>The model remains wary European currencies too and wants to fade JPY weakness due to the yen’s cheap long term valuations and Japan’s stronger external accounts.</w:t>
      </w:r>
      <w:r w:rsidRPr="0013052F">
        <w:rPr>
          <w:rFonts w:ascii="Arial" w:hAnsi="Arial" w:cs="Arial"/>
          <w:color w:val="000000"/>
          <w:sz w:val="28"/>
          <w:szCs w:val="28"/>
        </w:rPr>
        <w:t>” He said.</w:t>
      </w:r>
    </w:p>
    <w:p w:rsidR="00620081" w:rsidRPr="00620081" w:rsidRDefault="00620081">
      <w:pPr>
        <w:rPr>
          <w:rFonts w:ascii="Arial" w:hAnsi="Arial" w:cs="Arial"/>
          <w:color w:val="000000"/>
          <w:sz w:val="28"/>
          <w:szCs w:val="28"/>
        </w:rPr>
      </w:pPr>
      <w:r w:rsidRPr="00620081">
        <w:rPr>
          <w:rFonts w:ascii="Arial" w:hAnsi="Arial" w:cs="Arial"/>
          <w:color w:val="000000"/>
          <w:sz w:val="28"/>
          <w:szCs w:val="28"/>
        </w:rPr>
        <w:t>The models</w:t>
      </w:r>
      <w:r>
        <w:rPr>
          <w:rFonts w:ascii="Arial" w:hAnsi="Arial" w:cs="Arial"/>
          <w:color w:val="000000"/>
          <w:sz w:val="28"/>
          <w:szCs w:val="28"/>
        </w:rPr>
        <w:t>’</w:t>
      </w:r>
      <w:r w:rsidRPr="00620081">
        <w:rPr>
          <w:rFonts w:ascii="Arial" w:hAnsi="Arial" w:cs="Arial"/>
          <w:color w:val="000000"/>
          <w:sz w:val="28"/>
          <w:szCs w:val="28"/>
        </w:rPr>
        <w:t xml:space="preserve"> strongest</w:t>
      </w:r>
      <w:r>
        <w:rPr>
          <w:rFonts w:ascii="Arial" w:hAnsi="Arial" w:cs="Arial"/>
          <w:color w:val="000000"/>
          <w:sz w:val="28"/>
          <w:szCs w:val="28"/>
        </w:rPr>
        <w:t xml:space="preserve"> Aussie-positive</w:t>
      </w:r>
      <w:r w:rsidRPr="00620081">
        <w:rPr>
          <w:rFonts w:ascii="Arial" w:hAnsi="Arial" w:cs="Arial"/>
          <w:color w:val="000000"/>
          <w:sz w:val="28"/>
          <w:szCs w:val="28"/>
        </w:rPr>
        <w:t xml:space="preserve"> signals are those covering the short and medium-term timespans: </w:t>
      </w:r>
    </w:p>
    <w:p w:rsidR="002F1CB6" w:rsidRPr="00620081" w:rsidRDefault="00620081">
      <w:pPr>
        <w:rPr>
          <w:rFonts w:ascii="Arial" w:hAnsi="Arial" w:cs="Arial"/>
          <w:color w:val="000000"/>
          <w:sz w:val="28"/>
          <w:szCs w:val="28"/>
        </w:rPr>
      </w:pPr>
      <w:r w:rsidRPr="00620081">
        <w:rPr>
          <w:rFonts w:ascii="Arial" w:hAnsi="Arial" w:cs="Arial"/>
          <w:color w:val="000000"/>
          <w:sz w:val="28"/>
          <w:szCs w:val="28"/>
        </w:rPr>
        <w:t>“O</w:t>
      </w:r>
      <w:r w:rsidRPr="00620081">
        <w:rPr>
          <w:rFonts w:ascii="Arial" w:hAnsi="Arial" w:cs="Arial"/>
          <w:color w:val="000000"/>
          <w:sz w:val="28"/>
          <w:szCs w:val="28"/>
        </w:rPr>
        <w:t>ur medium and short term signals are trending in AUD’s favour. Growth has been a reliably positive AUD signal for over a year (blue bars), the main positive inputs being the downtrend in the nation’s unemployment rate (from 6.3% to 5.8%) and the recovery in business conditions from the NAB business survey (from around +5 to +12).</w:t>
      </w:r>
      <w:r w:rsidRPr="00620081">
        <w:rPr>
          <w:rFonts w:ascii="Arial" w:hAnsi="Arial" w:cs="Arial"/>
          <w:color w:val="000000"/>
          <w:sz w:val="28"/>
          <w:szCs w:val="28"/>
        </w:rPr>
        <w:t>”</w:t>
      </w:r>
      <w:r w:rsidR="002521AA" w:rsidRPr="00620081">
        <w:rPr>
          <w:rFonts w:ascii="Arial" w:hAnsi="Arial" w:cs="Arial"/>
          <w:color w:val="000000"/>
          <w:sz w:val="28"/>
          <w:szCs w:val="28"/>
        </w:rPr>
        <w:t xml:space="preserve"> </w:t>
      </w:r>
    </w:p>
    <w:p w:rsidR="0013052F" w:rsidRDefault="00C24881">
      <w:pPr>
        <w:rPr>
          <w:rFonts w:ascii="Arial" w:hAnsi="Arial" w:cs="Arial"/>
          <w:color w:val="000000"/>
          <w:sz w:val="28"/>
          <w:szCs w:val="28"/>
        </w:rPr>
      </w:pPr>
      <w:r>
        <w:rPr>
          <w:rFonts w:ascii="Arial" w:hAnsi="Arial" w:cs="Arial"/>
          <w:color w:val="000000"/>
          <w:sz w:val="28"/>
          <w:szCs w:val="28"/>
        </w:rPr>
        <w:t>Longer-term, however, the Australian dollar may be set for some corrective downside</w:t>
      </w:r>
      <w:r w:rsidR="0013052F">
        <w:rPr>
          <w:rFonts w:ascii="Arial" w:hAnsi="Arial" w:cs="Arial"/>
          <w:color w:val="000000"/>
          <w:sz w:val="28"/>
          <w:szCs w:val="28"/>
        </w:rPr>
        <w:t xml:space="preserve">, with Purchasing Power Parity (PPP) </w:t>
      </w:r>
      <w:r w:rsidR="000C6FEB">
        <w:rPr>
          <w:rFonts w:ascii="Arial" w:hAnsi="Arial" w:cs="Arial"/>
          <w:color w:val="000000"/>
          <w:sz w:val="28"/>
          <w:szCs w:val="28"/>
        </w:rPr>
        <w:t>providing the</w:t>
      </w:r>
      <w:r w:rsidR="0013052F">
        <w:rPr>
          <w:rFonts w:ascii="Arial" w:hAnsi="Arial" w:cs="Arial"/>
          <w:color w:val="000000"/>
          <w:sz w:val="28"/>
          <w:szCs w:val="28"/>
        </w:rPr>
        <w:t xml:space="preserve"> weakest signal followed by</w:t>
      </w:r>
      <w:r w:rsidR="000C6FEB">
        <w:rPr>
          <w:rFonts w:ascii="Arial" w:hAnsi="Arial" w:cs="Arial"/>
          <w:color w:val="000000"/>
          <w:sz w:val="28"/>
          <w:szCs w:val="28"/>
        </w:rPr>
        <w:t xml:space="preserve"> valuation versus</w:t>
      </w:r>
      <w:r w:rsidR="0013052F">
        <w:rPr>
          <w:rFonts w:ascii="Arial" w:hAnsi="Arial" w:cs="Arial"/>
          <w:color w:val="000000"/>
          <w:sz w:val="28"/>
          <w:szCs w:val="28"/>
        </w:rPr>
        <w:t xml:space="preserve"> terms of trade</w:t>
      </w:r>
      <w:r>
        <w:rPr>
          <w:rFonts w:ascii="Arial" w:hAnsi="Arial" w:cs="Arial"/>
          <w:color w:val="000000"/>
          <w:sz w:val="28"/>
          <w:szCs w:val="28"/>
        </w:rPr>
        <w:t>:</w:t>
      </w:r>
    </w:p>
    <w:p w:rsidR="0013052F" w:rsidRDefault="0013052F">
      <w:pPr>
        <w:rPr>
          <w:rFonts w:ascii="Arial" w:hAnsi="Arial" w:cs="Arial"/>
          <w:color w:val="000000"/>
          <w:sz w:val="28"/>
          <w:szCs w:val="28"/>
        </w:rPr>
      </w:pPr>
      <w:r>
        <w:rPr>
          <w:rFonts w:ascii="Arial" w:hAnsi="Arial" w:cs="Arial"/>
          <w:color w:val="000000"/>
          <w:sz w:val="28"/>
          <w:szCs w:val="28"/>
        </w:rPr>
        <w:t xml:space="preserve">Purchasing Power Parity evaluates whether a currency is relatively too strong or too weak by comparing the cost of similar goods priced in different currencies. </w:t>
      </w:r>
    </w:p>
    <w:p w:rsidR="002521AA" w:rsidRDefault="0013052F">
      <w:pPr>
        <w:rPr>
          <w:rFonts w:ascii="Arial" w:hAnsi="Arial" w:cs="Arial"/>
          <w:color w:val="000000"/>
          <w:sz w:val="28"/>
          <w:szCs w:val="28"/>
        </w:rPr>
      </w:pPr>
      <w:r>
        <w:rPr>
          <w:rFonts w:ascii="Arial" w:hAnsi="Arial" w:cs="Arial"/>
          <w:color w:val="000000"/>
          <w:sz w:val="28"/>
          <w:szCs w:val="28"/>
        </w:rPr>
        <w:t xml:space="preserve">Those that are relatively speaking too expensive compared to the rest are probably so because the currency they are priced in is too expensive (suggesting it will fall). </w:t>
      </w:r>
    </w:p>
    <w:p w:rsidR="000C6FEB" w:rsidRDefault="000C6FEB">
      <w:pPr>
        <w:rPr>
          <w:rFonts w:ascii="Arial" w:hAnsi="Arial" w:cs="Arial"/>
          <w:color w:val="000000"/>
          <w:sz w:val="28"/>
          <w:szCs w:val="28"/>
        </w:rPr>
      </w:pPr>
      <w:r>
        <w:rPr>
          <w:rFonts w:ascii="Arial" w:hAnsi="Arial" w:cs="Arial"/>
          <w:color w:val="000000"/>
          <w:sz w:val="28"/>
          <w:szCs w:val="28"/>
        </w:rPr>
        <w:t xml:space="preserve">This is the case with the Australian dollar. </w:t>
      </w:r>
    </w:p>
    <w:p w:rsidR="00847F3B" w:rsidRDefault="00C24881">
      <w:pPr>
        <w:rPr>
          <w:rFonts w:ascii="Arial" w:hAnsi="Arial" w:cs="Arial"/>
          <w:color w:val="000000"/>
          <w:sz w:val="28"/>
          <w:szCs w:val="28"/>
        </w:rPr>
      </w:pPr>
      <w:r w:rsidRPr="0013052F">
        <w:rPr>
          <w:rFonts w:ascii="Arial" w:hAnsi="Arial" w:cs="Arial"/>
          <w:color w:val="000000"/>
          <w:sz w:val="28"/>
          <w:szCs w:val="28"/>
        </w:rPr>
        <w:t>“</w:t>
      </w:r>
      <w:r w:rsidR="0013052F" w:rsidRPr="0013052F">
        <w:rPr>
          <w:rFonts w:ascii="Arial" w:hAnsi="Arial" w:cs="Arial"/>
          <w:color w:val="000000"/>
          <w:sz w:val="28"/>
          <w:szCs w:val="28"/>
        </w:rPr>
        <w:t>Long term factors/fundamentals remain the AUD’s Achilles heel as far as the model is concerned.</w:t>
      </w:r>
      <w:r w:rsidR="000C6FEB">
        <w:rPr>
          <w:rFonts w:ascii="Arial" w:hAnsi="Arial" w:cs="Arial"/>
          <w:color w:val="000000"/>
          <w:sz w:val="28"/>
          <w:szCs w:val="28"/>
        </w:rPr>
        <w:t>”</w:t>
      </w:r>
    </w:p>
    <w:p w:rsidR="00847F3B" w:rsidRDefault="00847F3B">
      <w:pPr>
        <w:rPr>
          <w:rFonts w:ascii="Arial" w:hAnsi="Arial" w:cs="Arial"/>
          <w:color w:val="000000"/>
          <w:sz w:val="28"/>
          <w:szCs w:val="28"/>
        </w:rPr>
      </w:pPr>
      <w:r>
        <w:rPr>
          <w:rFonts w:ascii="Arial" w:hAnsi="Arial" w:cs="Arial"/>
          <w:color w:val="000000"/>
          <w:sz w:val="28"/>
          <w:szCs w:val="28"/>
        </w:rPr>
        <w:t xml:space="preserve">In support of the Aussie is the total yield differential -  this is the difference between Australian 10-year bond yields and other currencies’ benchmark yields. </w:t>
      </w:r>
    </w:p>
    <w:p w:rsidR="00847F3B" w:rsidRDefault="00847F3B">
      <w:pPr>
        <w:rPr>
          <w:rFonts w:ascii="Arial" w:hAnsi="Arial" w:cs="Arial"/>
          <w:color w:val="000000"/>
          <w:sz w:val="28"/>
          <w:szCs w:val="28"/>
        </w:rPr>
      </w:pPr>
      <w:r>
        <w:rPr>
          <w:rFonts w:ascii="Arial" w:hAnsi="Arial" w:cs="Arial"/>
          <w:color w:val="000000"/>
          <w:sz w:val="28"/>
          <w:szCs w:val="28"/>
        </w:rPr>
        <w:t xml:space="preserve">Yield is similar to interest in that it is the money a borrower pays for the privilege of getting a large lump sum of money. </w:t>
      </w:r>
    </w:p>
    <w:p w:rsidR="00847F3B" w:rsidRDefault="00847F3B">
      <w:pPr>
        <w:rPr>
          <w:rFonts w:ascii="Arial" w:hAnsi="Arial" w:cs="Arial"/>
          <w:color w:val="000000"/>
          <w:sz w:val="28"/>
          <w:szCs w:val="28"/>
        </w:rPr>
      </w:pPr>
      <w:r>
        <w:rPr>
          <w:rFonts w:ascii="Arial" w:hAnsi="Arial" w:cs="Arial"/>
          <w:color w:val="000000"/>
          <w:sz w:val="28"/>
          <w:szCs w:val="28"/>
        </w:rPr>
        <w:t xml:space="preserve">The currency with the higher yield should be stronger as it will attract more inflows from international investors seeking higher returns – or ‘yield’. </w:t>
      </w:r>
    </w:p>
    <w:p w:rsidR="00847F3B" w:rsidRDefault="00847F3B">
      <w:pPr>
        <w:rPr>
          <w:rFonts w:ascii="Arial" w:hAnsi="Arial" w:cs="Arial"/>
          <w:color w:val="000000"/>
          <w:sz w:val="18"/>
          <w:szCs w:val="18"/>
        </w:rPr>
      </w:pPr>
      <w:r>
        <w:rPr>
          <w:rFonts w:ascii="Arial" w:hAnsi="Arial" w:cs="Arial"/>
          <w:color w:val="000000"/>
          <w:sz w:val="28"/>
          <w:szCs w:val="28"/>
        </w:rPr>
        <w:t>“</w:t>
      </w:r>
      <w:r>
        <w:rPr>
          <w:rFonts w:ascii="Arial" w:hAnsi="Arial" w:cs="Arial"/>
          <w:color w:val="000000"/>
          <w:sz w:val="18"/>
          <w:szCs w:val="18"/>
        </w:rPr>
        <w:t>Even allowing for the RBA rate cut in Feb 2016 and ongoing easing priced into OIS markets rates have fallen faster elsewhere (the UK and NZ come to mind), while AUD’s carry in level terms of course remains heavily positive, bested only by NZ.</w:t>
      </w:r>
      <w:r>
        <w:rPr>
          <w:rFonts w:ascii="Arial" w:hAnsi="Arial" w:cs="Arial"/>
          <w:color w:val="000000"/>
          <w:sz w:val="18"/>
          <w:szCs w:val="18"/>
        </w:rPr>
        <w:t xml:space="preserve">” Comments </w:t>
      </w:r>
      <w:proofErr w:type="spellStart"/>
      <w:r>
        <w:rPr>
          <w:rFonts w:ascii="Arial" w:hAnsi="Arial" w:cs="Arial"/>
          <w:color w:val="000000"/>
          <w:sz w:val="18"/>
          <w:szCs w:val="18"/>
        </w:rPr>
        <w:t>Franulovich</w:t>
      </w:r>
      <w:proofErr w:type="spellEnd"/>
      <w:r>
        <w:rPr>
          <w:rFonts w:ascii="Arial" w:hAnsi="Arial" w:cs="Arial"/>
          <w:color w:val="000000"/>
          <w:sz w:val="18"/>
          <w:szCs w:val="18"/>
        </w:rPr>
        <w:t xml:space="preserve">. </w:t>
      </w:r>
    </w:p>
    <w:p w:rsidR="00847F3B" w:rsidRDefault="00847F3B">
      <w:pPr>
        <w:rPr>
          <w:rFonts w:ascii="Arial" w:hAnsi="Arial" w:cs="Arial"/>
          <w:color w:val="000000"/>
          <w:sz w:val="18"/>
          <w:szCs w:val="18"/>
        </w:rPr>
      </w:pPr>
      <w:r>
        <w:rPr>
          <w:rFonts w:ascii="Arial" w:hAnsi="Arial" w:cs="Arial"/>
          <w:color w:val="000000"/>
          <w:sz w:val="18"/>
          <w:szCs w:val="18"/>
        </w:rPr>
        <w:t xml:space="preserve">Westpac’s proprietary ‘Logit probability signal’ is also favouring more Australian dollar gains: </w:t>
      </w:r>
    </w:p>
    <w:p w:rsidR="00847F3B" w:rsidRDefault="00847F3B">
      <w:pPr>
        <w:rPr>
          <w:rFonts w:ascii="Arial" w:hAnsi="Arial" w:cs="Arial"/>
          <w:color w:val="000000"/>
          <w:sz w:val="18"/>
          <w:szCs w:val="18"/>
        </w:rPr>
      </w:pPr>
      <w:r>
        <w:rPr>
          <w:rFonts w:ascii="Arial" w:hAnsi="Arial" w:cs="Arial"/>
          <w:color w:val="000000"/>
          <w:sz w:val="18"/>
          <w:szCs w:val="18"/>
        </w:rPr>
        <w:t>“</w:t>
      </w:r>
      <w:r>
        <w:rPr>
          <w:rFonts w:ascii="Arial" w:hAnsi="Arial" w:cs="Arial"/>
          <w:color w:val="000000"/>
          <w:sz w:val="18"/>
          <w:szCs w:val="18"/>
        </w:rPr>
        <w:t xml:space="preserve">Steadier commodity prices, lower core yields and low and falling risk </w:t>
      </w:r>
      <w:proofErr w:type="spellStart"/>
      <w:r>
        <w:rPr>
          <w:rFonts w:ascii="Arial" w:hAnsi="Arial" w:cs="Arial"/>
          <w:color w:val="000000"/>
          <w:sz w:val="18"/>
          <w:szCs w:val="18"/>
        </w:rPr>
        <w:t>premia</w:t>
      </w:r>
      <w:proofErr w:type="spellEnd"/>
      <w:r>
        <w:rPr>
          <w:rFonts w:ascii="Arial" w:hAnsi="Arial" w:cs="Arial"/>
          <w:color w:val="000000"/>
          <w:sz w:val="18"/>
          <w:szCs w:val="18"/>
        </w:rPr>
        <w:t xml:space="preserve"> across a range of global markets have tilted our logit signal in AUD’s favour for the better part of the last several months, even allowing for a setback around Brexit.</w:t>
      </w:r>
      <w:r>
        <w:rPr>
          <w:rFonts w:ascii="Arial" w:hAnsi="Arial" w:cs="Arial"/>
          <w:color w:val="000000"/>
          <w:sz w:val="18"/>
          <w:szCs w:val="18"/>
        </w:rPr>
        <w:t>”</w:t>
      </w:r>
    </w:p>
    <w:p w:rsidR="00847F3B" w:rsidRDefault="00847F3B">
      <w:pPr>
        <w:rPr>
          <w:rFonts w:ascii="Arial" w:hAnsi="Arial" w:cs="Arial"/>
          <w:color w:val="000000"/>
          <w:sz w:val="28"/>
          <w:szCs w:val="28"/>
        </w:rPr>
      </w:pPr>
      <w:r>
        <w:rPr>
          <w:rFonts w:ascii="Arial" w:hAnsi="Arial" w:cs="Arial"/>
          <w:color w:val="000000"/>
          <w:sz w:val="28"/>
          <w:szCs w:val="28"/>
        </w:rPr>
        <w:t xml:space="preserve">Despite trading at the upper end of its 2016 range, the Aussie is not considered overvalued by the Westpac model, as it has not kept up with the rise in commodity prices, yield differential and general fall in global risk aversion. </w:t>
      </w:r>
    </w:p>
    <w:p w:rsidR="00847F3B" w:rsidRDefault="00847F3B">
      <w:pPr>
        <w:rPr>
          <w:rFonts w:ascii="Arial" w:hAnsi="Arial" w:cs="Arial"/>
          <w:color w:val="000000"/>
          <w:sz w:val="28"/>
          <w:szCs w:val="28"/>
        </w:rPr>
      </w:pPr>
      <w:r>
        <w:rPr>
          <w:rFonts w:ascii="Arial" w:hAnsi="Arial" w:cs="Arial"/>
          <w:color w:val="000000"/>
          <w:sz w:val="28"/>
          <w:szCs w:val="28"/>
        </w:rPr>
        <w:t xml:space="preserve">Despite the model flashing green ‘go’ lights </w:t>
      </w:r>
      <w:proofErr w:type="spellStart"/>
      <w:r>
        <w:rPr>
          <w:rFonts w:ascii="Arial" w:hAnsi="Arial" w:cs="Arial"/>
          <w:color w:val="000000"/>
          <w:sz w:val="28"/>
          <w:szCs w:val="28"/>
        </w:rPr>
        <w:t>Franulovich</w:t>
      </w:r>
      <w:proofErr w:type="spellEnd"/>
      <w:r>
        <w:rPr>
          <w:rFonts w:ascii="Arial" w:hAnsi="Arial" w:cs="Arial"/>
          <w:color w:val="000000"/>
          <w:sz w:val="28"/>
          <w:szCs w:val="28"/>
        </w:rPr>
        <w:t xml:space="preserve"> ends his piece with a note of caution</w:t>
      </w:r>
      <w:r w:rsidR="001F5ECD">
        <w:rPr>
          <w:rFonts w:ascii="Arial" w:hAnsi="Arial" w:cs="Arial"/>
          <w:color w:val="000000"/>
          <w:sz w:val="28"/>
          <w:szCs w:val="28"/>
        </w:rPr>
        <w:t xml:space="preserve">, in particular relating to the US economy and how interest rate hike expectations could improve in the US after being dampened by Brexit – this would start to weigh on the Aussie. </w:t>
      </w:r>
      <w:r>
        <w:rPr>
          <w:rFonts w:ascii="Arial" w:hAnsi="Arial" w:cs="Arial"/>
          <w:color w:val="000000"/>
          <w:sz w:val="28"/>
          <w:szCs w:val="28"/>
        </w:rPr>
        <w:t xml:space="preserve"> </w:t>
      </w:r>
      <w:bookmarkStart w:id="0" w:name="_GoBack"/>
      <w:bookmarkEnd w:id="0"/>
    </w:p>
    <w:p w:rsidR="00847F3B" w:rsidRDefault="00847F3B">
      <w:pPr>
        <w:rPr>
          <w:rFonts w:ascii="Arial" w:hAnsi="Arial" w:cs="Arial"/>
          <w:color w:val="000000"/>
          <w:sz w:val="28"/>
          <w:szCs w:val="28"/>
        </w:rPr>
      </w:pPr>
      <w:r>
        <w:rPr>
          <w:rFonts w:ascii="Arial" w:hAnsi="Arial" w:cs="Arial"/>
          <w:color w:val="000000"/>
          <w:sz w:val="28"/>
          <w:szCs w:val="28"/>
        </w:rPr>
        <w:t>“</w:t>
      </w:r>
      <w:r>
        <w:rPr>
          <w:rFonts w:ascii="Arial" w:hAnsi="Arial" w:cs="Arial"/>
          <w:color w:val="000000"/>
          <w:sz w:val="18"/>
          <w:szCs w:val="18"/>
        </w:rPr>
        <w:t xml:space="preserve">We can think of many reasons why AUD might soon hit a local peak - solid June payrolls and firm US financial conditions despite Brexit could see the Fed statement take a less dovish tone </w:t>
      </w:r>
      <w:r>
        <w:rPr>
          <w:rStyle w:val="aqj"/>
          <w:rFonts w:ascii="Arial" w:hAnsi="Arial" w:cs="Arial"/>
          <w:color w:val="000000"/>
          <w:sz w:val="18"/>
          <w:szCs w:val="18"/>
        </w:rPr>
        <w:t>27 July</w:t>
      </w:r>
      <w:r>
        <w:rPr>
          <w:rFonts w:ascii="Arial" w:hAnsi="Arial" w:cs="Arial"/>
          <w:color w:val="000000"/>
          <w:sz w:val="18"/>
          <w:szCs w:val="18"/>
        </w:rPr>
        <w:t xml:space="preserve">, the </w:t>
      </w:r>
      <w:proofErr w:type="spellStart"/>
      <w:r>
        <w:rPr>
          <w:rFonts w:ascii="Arial" w:hAnsi="Arial" w:cs="Arial"/>
          <w:color w:val="000000"/>
          <w:sz w:val="18"/>
          <w:szCs w:val="18"/>
        </w:rPr>
        <w:t>BoJ</w:t>
      </w:r>
      <w:proofErr w:type="spellEnd"/>
      <w:r>
        <w:rPr>
          <w:rFonts w:ascii="Arial" w:hAnsi="Arial" w:cs="Arial"/>
          <w:color w:val="000000"/>
          <w:sz w:val="18"/>
          <w:szCs w:val="18"/>
        </w:rPr>
        <w:t xml:space="preserve"> and PM Abe might struggle to over-deliver on hyped expectations for major fresh stimulus, a post-convention Trump bump in the polls could weigh on risk sentiment. For the time being though the model is a strong advocate of ongoing AUD longs.</w:t>
      </w:r>
      <w:r w:rsidR="001F5ECD">
        <w:rPr>
          <w:rFonts w:ascii="Arial" w:hAnsi="Arial" w:cs="Arial"/>
          <w:color w:val="000000"/>
          <w:sz w:val="18"/>
          <w:szCs w:val="18"/>
        </w:rPr>
        <w:t xml:space="preserve">” Richard </w:t>
      </w:r>
      <w:proofErr w:type="spellStart"/>
      <w:r w:rsidR="001F5ECD">
        <w:rPr>
          <w:rFonts w:ascii="Arial" w:hAnsi="Arial" w:cs="Arial"/>
          <w:color w:val="000000"/>
          <w:sz w:val="18"/>
          <w:szCs w:val="18"/>
        </w:rPr>
        <w:t>Franulovich</w:t>
      </w:r>
      <w:proofErr w:type="spellEnd"/>
      <w:r w:rsidR="001F5ECD">
        <w:rPr>
          <w:rFonts w:ascii="Arial" w:hAnsi="Arial" w:cs="Arial"/>
          <w:color w:val="000000"/>
          <w:sz w:val="18"/>
          <w:szCs w:val="18"/>
        </w:rPr>
        <w:t xml:space="preserve">. </w:t>
      </w:r>
    </w:p>
    <w:p w:rsidR="00847F3B" w:rsidRPr="00847F3B" w:rsidRDefault="00847F3B">
      <w:pPr>
        <w:rPr>
          <w:rFonts w:ascii="Arial" w:hAnsi="Arial" w:cs="Arial"/>
          <w:color w:val="000000"/>
          <w:sz w:val="28"/>
          <w:szCs w:val="28"/>
        </w:rPr>
      </w:pPr>
    </w:p>
    <w:p w:rsidR="002F1CB6" w:rsidRPr="00620081" w:rsidRDefault="002F1CB6">
      <w:pPr>
        <w:rPr>
          <w:sz w:val="28"/>
          <w:szCs w:val="28"/>
        </w:rPr>
      </w:pPr>
    </w:p>
    <w:sectPr w:rsidR="002F1CB6" w:rsidRPr="0062008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attachedTemplate r:id="rId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log" w:val="1"/>
  </w:docVars>
  <w:rsids>
    <w:rsidRoot w:val="002F1CB6"/>
    <w:rsid w:val="000C6FEB"/>
    <w:rsid w:val="0013052F"/>
    <w:rsid w:val="001F5ECD"/>
    <w:rsid w:val="002521AA"/>
    <w:rsid w:val="002F1CB6"/>
    <w:rsid w:val="00620081"/>
    <w:rsid w:val="006E1DEB"/>
    <w:rsid w:val="00847F3B"/>
    <w:rsid w:val="00BF7E6E"/>
    <w:rsid w:val="00C248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B1496"/>
  <w15:docId w15:val="{40394ED5-7E44-4AF5-B678-D6BB6FD06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lang w:val="en-GB" w:eastAsia="en-GB" w:bidi="ar-SA"/>
      </w:rPr>
    </w:rPrDefault>
    <w:pPrDefault>
      <w:pPr>
        <w:spacing w:after="200"/>
      </w:pPr>
    </w:pPrDefault>
  </w:docDefaults>
  <w:latentStyles w:defLockedState="0" w:defUIPriority="99" w:defSemiHidden="0" w:defUnhideWhenUsed="0" w:defQFormat="0" w:count="372">
    <w:lsdException w:name="Normal" w:uiPriority="0" w:qFormat="1"/>
    <w:lsdException w:name="heading 1" w:uiPriority="9" w:qFormat="1"/>
    <w:lsdException w:name="heading 2" w:uiPriority="9" w:qFormat="1"/>
    <w:lsdException w:name="heading 3" w:semiHidden="1" w:uiPriority="2" w:qFormat="1"/>
    <w:lsdException w:name="heading 4" w:semiHidden="1" w:uiPriority="2" w:qFormat="1"/>
    <w:lsdException w:name="heading 5" w:semiHidden="1" w:uiPriority="2" w:qFormat="1"/>
    <w:lsdException w:name="heading 6" w:semiHidden="1" w:uiPriority="2" w:qFormat="1"/>
    <w:lsdException w:name="heading 7" w:semiHidden="1" w:uiPriority="2" w:qFormat="1"/>
    <w:lsdException w:name="heading 8" w:semiHidden="1" w:uiPriority="2" w:qFormat="1"/>
    <w:lsdException w:name="heading 9" w:semiHidden="1" w:uiPriority="2"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qFormat="1"/>
    <w:lsdException w:name="toc 2" w:semiHidden="1" w:uiPriority="39" w:qFormat="1"/>
    <w:lsdException w:name="toc 3" w:semiHidden="1" w:uiPriority="39" w:qFormat="1"/>
    <w:lsdException w:name="toc 4" w:semiHidden="1" w:uiPriority="39" w:qFormat="1"/>
    <w:lsdException w:name="toc 5" w:semiHidden="1" w:uiPriority="39" w:qFormat="1"/>
    <w:lsdException w:name="toc 6" w:semiHidden="1" w:uiPriority="39" w:qFormat="1"/>
    <w:lsdException w:name="toc 7" w:semiHidden="1" w:uiPriority="39" w:qFormat="1"/>
    <w:lsdException w:name="toc 8" w:semiHidden="1" w:uiPriority="39" w:qFormat="1"/>
    <w:lsdException w:name="toc 9" w:semiHidden="1" w:uiPriority="39" w:qFormat="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uiPriority="19" w:qFormat="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lsdException w:name="Mention" w:semiHidden="1"/>
  </w:latentStyles>
  <w:style w:type="paragraph" w:default="1" w:styleId="Normal">
    <w:name w:val="Normal"/>
    <w:uiPriority w:val="1"/>
    <w:qFormat/>
  </w:style>
  <w:style w:type="paragraph" w:styleId="Heading1">
    <w:name w:val="heading 1"/>
    <w:basedOn w:val="Normal"/>
    <w:next w:val="Normal"/>
    <w:uiPriority w:val="5"/>
    <w:qFormat/>
    <w:pPr>
      <w:spacing w:before="200" w:after="0"/>
      <w:outlineLvl w:val="0"/>
    </w:pPr>
    <w:rPr>
      <w:rFonts w:asciiTheme="majorHAnsi" w:eastAsiaTheme="majorEastAsia" w:hAnsiTheme="majorHAnsi" w:cstheme="majorBidi"/>
      <w:b/>
      <w:bCs/>
      <w:color w:val="323E4F" w:themeColor="text2" w:themeShade="BF"/>
      <w:sz w:val="30"/>
      <w:szCs w:val="36"/>
    </w:rPr>
  </w:style>
  <w:style w:type="paragraph" w:styleId="Heading2">
    <w:name w:val="heading 2"/>
    <w:basedOn w:val="Normal"/>
    <w:next w:val="Normal"/>
    <w:uiPriority w:val="6"/>
    <w:qFormat/>
    <w:pPr>
      <w:spacing w:before="200" w:after="0"/>
      <w:outlineLvl w:val="1"/>
    </w:pPr>
    <w:rPr>
      <w:rFonts w:asciiTheme="majorHAnsi" w:eastAsiaTheme="majorEastAsia" w:hAnsiTheme="majorHAnsi" w:cstheme="majorBidi"/>
      <w:b/>
      <w:bCs/>
      <w:color w:val="323E4F" w:themeColor="text2" w:themeShade="BF"/>
      <w:sz w:val="26"/>
      <w:szCs w:val="32"/>
    </w:rPr>
  </w:style>
  <w:style w:type="paragraph" w:styleId="Heading3">
    <w:name w:val="heading 3"/>
    <w:basedOn w:val="Normal"/>
    <w:next w:val="Normal"/>
    <w:uiPriority w:val="7"/>
    <w:qFormat/>
    <w:pPr>
      <w:spacing w:before="200" w:after="0"/>
      <w:outlineLvl w:val="2"/>
    </w:pPr>
    <w:rPr>
      <w:rFonts w:asciiTheme="majorHAnsi" w:eastAsiaTheme="majorEastAsia" w:hAnsiTheme="majorHAnsi" w:cstheme="majorBidi"/>
      <w:b/>
      <w:bCs/>
      <w:color w:val="323E4F" w:themeColor="text2" w:themeShade="BF"/>
      <w:szCs w:val="28"/>
    </w:rPr>
  </w:style>
  <w:style w:type="paragraph" w:styleId="Heading4">
    <w:name w:val="heading 4"/>
    <w:basedOn w:val="Normal"/>
    <w:next w:val="Normal"/>
    <w:uiPriority w:val="8"/>
    <w:qFormat/>
    <w:pPr>
      <w:spacing w:before="200" w:after="0"/>
      <w:outlineLvl w:val="3"/>
    </w:pPr>
    <w:rPr>
      <w:rFonts w:asciiTheme="majorHAnsi" w:eastAsiaTheme="majorEastAsia" w:hAnsiTheme="majorHAnsi" w:cstheme="majorBidi"/>
      <w:color w:val="323E4F" w:themeColor="text2" w:themeShade="BF"/>
      <w:szCs w:val="28"/>
    </w:rPr>
  </w:style>
  <w:style w:type="paragraph" w:styleId="Heading5">
    <w:name w:val="heading 5"/>
    <w:basedOn w:val="Normal"/>
    <w:next w:val="Normal"/>
    <w:uiPriority w:val="9"/>
    <w:qFormat/>
    <w:pPr>
      <w:spacing w:before="200" w:after="0"/>
      <w:outlineLvl w:val="4"/>
    </w:pPr>
    <w:rPr>
      <w:rFonts w:asciiTheme="majorHAnsi" w:eastAsiaTheme="majorEastAsia" w:hAnsiTheme="majorHAnsi" w:cstheme="majorBidi"/>
      <w:i/>
      <w:iCs/>
      <w:color w:val="323E4F" w:themeColor="text2" w:themeShade="BF"/>
      <w:szCs w:val="28"/>
    </w:rPr>
  </w:style>
  <w:style w:type="paragraph" w:styleId="Heading6">
    <w:name w:val="heading 6"/>
    <w:basedOn w:val="Normal"/>
    <w:next w:val="Normal"/>
    <w:uiPriority w:val="10"/>
    <w:qFormat/>
    <w:pPr>
      <w:spacing w:before="200" w:after="0"/>
      <w:outlineLvl w:val="5"/>
    </w:pPr>
    <w:rPr>
      <w:rFonts w:asciiTheme="majorHAnsi" w:eastAsiaTheme="majorEastAsia" w:hAnsiTheme="majorHAnsi" w:cstheme="majorBidi"/>
      <w:b/>
      <w:bCs/>
      <w:color w:val="323E4F" w:themeColor="text2" w:themeShade="BF"/>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blishwithline">
    <w:name w:val="Publish with line"/>
    <w:semiHidden/>
    <w:qFormat/>
    <w:pPr>
      <w:spacing w:after="0"/>
    </w:pPr>
    <w:rPr>
      <w:rFonts w:asciiTheme="majorHAnsi" w:eastAsiaTheme="majorEastAsia" w:hAnsiTheme="majorHAnsi" w:cstheme="majorBidi"/>
      <w:b/>
      <w:bCs/>
      <w:color w:val="262626"/>
      <w:sz w:val="32"/>
      <w:szCs w:val="38"/>
    </w:rPr>
  </w:style>
  <w:style w:type="paragraph" w:customStyle="1" w:styleId="PublishStatus">
    <w:name w:val="Publish Status"/>
    <w:basedOn w:val="Normal"/>
    <w:semiHidden/>
    <w:pPr>
      <w:pBdr>
        <w:top w:val="single" w:sz="8" w:space="1" w:color="E1E1E1"/>
        <w:left w:val="single" w:sz="8" w:space="2" w:color="F0F0F0"/>
        <w:bottom w:val="single" w:sz="8" w:space="1" w:color="E1E1E1"/>
        <w:right w:val="single" w:sz="8" w:space="2" w:color="F0F0F0"/>
      </w:pBdr>
      <w:shd w:val="clear" w:color="auto" w:fill="F0F0F0"/>
      <w:spacing w:before="100" w:after="100"/>
    </w:pPr>
    <w:rPr>
      <w:rFonts w:ascii="Segoe UI" w:hAnsi="Segoe UI"/>
      <w:color w:val="444444"/>
      <w:sz w:val="18"/>
      <w:szCs w:val="26"/>
    </w:rPr>
  </w:style>
  <w:style w:type="paragraph" w:customStyle="1" w:styleId="PublishStatusAccessible">
    <w:name w:val="PublishStatus_Accessible"/>
    <w:basedOn w:val="Normal"/>
    <w:semiHidden/>
    <w:pPr>
      <w:pBdr>
        <w:top w:val="single" w:sz="4" w:space="1" w:color="444444"/>
        <w:left w:val="single" w:sz="4" w:space="4" w:color="444444"/>
        <w:bottom w:val="single" w:sz="4" w:space="1" w:color="444444"/>
        <w:right w:val="single" w:sz="4" w:space="4" w:color="444444"/>
      </w:pBdr>
      <w:spacing w:before="100" w:after="100"/>
    </w:pPr>
    <w:rPr>
      <w:sz w:val="18"/>
      <w:szCs w:val="26"/>
    </w:rPr>
  </w:style>
  <w:style w:type="character" w:styleId="PlaceholderText">
    <w:name w:val="Placeholder Text"/>
    <w:basedOn w:val="DefaultParagraphFont"/>
    <w:uiPriority w:val="99"/>
    <w:semiHidden/>
    <w:rPr>
      <w:color w:val="808080"/>
    </w:rPr>
  </w:style>
  <w:style w:type="paragraph" w:customStyle="1" w:styleId="Account">
    <w:name w:val="Account"/>
    <w:semiHidden/>
    <w:pPr>
      <w:tabs>
        <w:tab w:val="left" w:pos="72"/>
        <w:tab w:val="left" w:pos="1267"/>
      </w:tabs>
      <w:spacing w:after="0"/>
    </w:pPr>
    <w:rPr>
      <w:rFonts w:ascii="Segoe UI" w:eastAsia="Segoe UI" w:hAnsi="Segoe UI" w:cs="Segoe UI"/>
      <w:color w:val="666666"/>
      <w:sz w:val="18"/>
      <w:szCs w:val="24"/>
    </w:rPr>
  </w:style>
  <w:style w:type="paragraph" w:customStyle="1" w:styleId="Categories">
    <w:name w:val="Categories"/>
    <w:basedOn w:val="Account"/>
    <w:semiHidden/>
  </w:style>
  <w:style w:type="paragraph" w:styleId="ListParagraph">
    <w:name w:val="List Paragraph"/>
    <w:basedOn w:val="Normal"/>
    <w:uiPriority w:val="34"/>
    <w:semiHidden/>
    <w:qFormat/>
    <w:rsid w:val="0059004B"/>
    <w:pPr>
      <w:ind w:left="720"/>
      <w:contextualSpacing/>
    </w:pPr>
  </w:style>
  <w:style w:type="paragraph" w:customStyle="1" w:styleId="PadderBetweenTitleandProperties">
    <w:name w:val="Padder Between Title and Properties"/>
    <w:basedOn w:val="Normal"/>
    <w:semiHidden/>
    <w:pPr>
      <w:spacing w:after="20"/>
    </w:pPr>
    <w:rPr>
      <w:sz w:val="2"/>
      <w:szCs w:val="2"/>
    </w:rPr>
  </w:style>
  <w:style w:type="paragraph" w:customStyle="1" w:styleId="PadderBetweenControlandBody">
    <w:name w:val="Padder Between Control and Body"/>
    <w:basedOn w:val="Normal"/>
    <w:next w:val="Normal"/>
    <w:semiHidden/>
    <w:pPr>
      <w:spacing w:after="120"/>
    </w:pPr>
    <w:rPr>
      <w:sz w:val="2"/>
      <w:szCs w:val="2"/>
    </w:rPr>
  </w:style>
  <w:style w:type="character" w:styleId="Emphasis">
    <w:name w:val="Emphasis"/>
    <w:basedOn w:val="DefaultParagraphFont"/>
    <w:uiPriority w:val="22"/>
    <w:qFormat/>
    <w:rPr>
      <w:i/>
      <w:iCs/>
    </w:rPr>
  </w:style>
  <w:style w:type="character" w:styleId="Strong">
    <w:name w:val="Strong"/>
    <w:basedOn w:val="DefaultParagraphFont"/>
    <w:uiPriority w:val="22"/>
    <w:qFormat/>
    <w:rPr>
      <w:b/>
      <w:bCs/>
    </w:rPr>
  </w:style>
  <w:style w:type="paragraph" w:customStyle="1" w:styleId="underline">
    <w:name w:val="underline"/>
    <w:semiHidden/>
    <w:pPr>
      <w:pBdr>
        <w:bottom w:val="single" w:sz="8" w:space="2" w:color="C6C6C6"/>
      </w:pBdr>
      <w:spacing w:after="0"/>
    </w:pPr>
    <w:rPr>
      <w:sz w:val="2"/>
      <w:szCs w:val="2"/>
    </w:rPr>
  </w:style>
  <w:style w:type="paragraph" w:styleId="Quote">
    <w:name w:val="Quote"/>
    <w:basedOn w:val="Normal"/>
    <w:next w:val="Normal"/>
    <w:uiPriority w:val="1"/>
    <w:qFormat/>
    <w:pPr>
      <w:ind w:left="720" w:right="720"/>
    </w:pPr>
    <w:rPr>
      <w:color w:val="000000" w:themeColor="text1"/>
    </w:rPr>
  </w:style>
  <w:style w:type="paragraph" w:styleId="NormalWeb">
    <w:name w:val="Normal (Web)"/>
    <w:basedOn w:val="Normal"/>
    <w:uiPriority w:val="1"/>
    <w:rsid w:val="001A4199"/>
  </w:style>
  <w:style w:type="character" w:customStyle="1" w:styleId="aqj">
    <w:name w:val="aqj"/>
    <w:basedOn w:val="DefaultParagraphFont"/>
    <w:rsid w:val="00847F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imet\AppData\Roaming\Microsoft\Templates\Blog%20pos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9512082"/>
        <w:category>
          <w:name w:val="General"/>
          <w:gallery w:val="placeholder"/>
        </w:category>
        <w:types>
          <w:type w:val="bbPlcHdr"/>
        </w:types>
        <w:behaviors>
          <w:behavior w:val="content"/>
        </w:behaviors>
        <w:guid w:val="{D395A725-4D7F-4704-BF3D-B01DF436FBB1}"/>
      </w:docPartPr>
      <w:docPartBody>
        <w:p w:rsidR="00000000" w:rsidRDefault="0068627F">
          <w:r w:rsidRPr="00E30432">
            <w:rPr>
              <w:rStyle w:val="PlaceholderText"/>
            </w:rPr>
            <w:t>[Enter Post Title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27F"/>
    <w:rsid w:val="0068627F"/>
    <w:rsid w:val="00C45F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627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Blog">
  <a:themeElements>
    <a:clrScheme name="Blog">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log">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log">
      <a:fillStyleLst>
        <a:solidFill>
          <a:schemeClr val="phClr"/>
        </a:solidFill>
        <a:gradFill rotWithShape="1">
          <a:gsLst>
            <a:gs pos="0">
              <a:schemeClr val="phClr">
                <a:tint val="50000"/>
                <a:shade val="98000"/>
                <a:satMod val="300000"/>
              </a:schemeClr>
            </a:gs>
            <a:gs pos="25000">
              <a:schemeClr val="phClr">
                <a:tint val="37000"/>
                <a:shade val="98000"/>
                <a:satMod val="300000"/>
              </a:schemeClr>
            </a:gs>
            <a:gs pos="100000">
              <a:schemeClr val="phClr">
                <a:tint val="5000"/>
                <a:satMod val="350000"/>
              </a:schemeClr>
            </a:gs>
          </a:gsLst>
          <a:lin ang="16200000" scaled="1"/>
        </a:gradFill>
        <a:gradFill rotWithShape="1">
          <a:gsLst>
            <a:gs pos="0">
              <a:schemeClr val="phClr">
                <a:shade val="75000"/>
                <a:satMod val="160000"/>
              </a:schemeClr>
            </a:gs>
            <a:gs pos="62000">
              <a:schemeClr val="phClr">
                <a:satMod val="125000"/>
              </a:schemeClr>
            </a:gs>
            <a:gs pos="100000">
              <a:schemeClr val="phClr">
                <a:tint val="80000"/>
                <a:satMod val="140000"/>
              </a:schemeClr>
            </a:gs>
          </a:gsLst>
          <a:lin ang="16200000" scaled="0"/>
        </a:gradFill>
      </a:fillStyleLst>
      <a:lnStyleLst>
        <a:ln w="6350" cap="rnd" cmpd="sng" algn="ctr">
          <a:solidFill>
            <a:schemeClr val="ph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63500" dist="25400" dir="5400000">
              <a:srgbClr val="000000">
                <a:alpha val="43137"/>
              </a:srgbClr>
            </a:outerShdw>
          </a:effectLst>
        </a:effectStyle>
        <a:effectStyle>
          <a:effectLst>
            <a:outerShdw blurRad="50800" dist="38100" dir="5400000">
              <a:srgbClr val="000000">
                <a:alpha val="45882"/>
              </a:srgbClr>
            </a:outerShdw>
          </a:effectLst>
          <a:scene3d>
            <a:camera prst="orthographicFront" fov="0">
              <a:rot lat="0" lon="0" rev="0"/>
            </a:camera>
            <a:lightRig rig="contrasting" dir="t">
              <a:rot lat="0" lon="0" rev="16500000"/>
            </a:lightRig>
          </a:scene3d>
          <a:sp3d contourW="12700" prstMaterial="powder">
            <a:bevelT h="50800"/>
            <a:contourClr>
              <a:schemeClr val="phClr"/>
            </a:contourClr>
          </a:sp3d>
        </a:effectStyle>
        <a:effectStyle>
          <a:effectLst>
            <a:reflection blurRad="12700" stA="25000" endPos="28000" dist="38100" dir="5400000" sy="-100000"/>
          </a:effectLst>
          <a:scene3d>
            <a:camera prst="orthographicFront" fov="0">
              <a:rot lat="0" lon="0" rev="0"/>
            </a:camera>
            <a:lightRig rig="threePt" dir="t">
              <a:rot lat="0" lon="0" rev="0"/>
            </a:lightRig>
          </a:scene3d>
          <a:sp3d>
            <a:bevelT w="139700" h="38100"/>
            <a:contourClr>
              <a:schemeClr val="phClr"/>
            </a:contourClr>
          </a:sp3d>
        </a:effectStyle>
      </a:effectStyleLst>
      <a:bgFillStyleLst>
        <a:solidFill>
          <a:schemeClr val="phClr"/>
        </a:solidFill>
        <a:gradFill rotWithShape="1">
          <a:gsLst>
            <a:gs pos="0">
              <a:schemeClr val="phClr">
                <a:shade val="75000"/>
                <a:satMod val="250000"/>
              </a:schemeClr>
            </a:gs>
            <a:gs pos="20000">
              <a:schemeClr val="phClr">
                <a:shade val="85000"/>
                <a:satMod val="175000"/>
              </a:schemeClr>
            </a:gs>
            <a:gs pos="100000">
              <a:schemeClr val="phClr">
                <a:tint val="70000"/>
                <a:satMod val="175000"/>
              </a:schemeClr>
            </a:gs>
          </a:gsLst>
          <a:lin ang="16200000" scaled="1"/>
        </a:gradFill>
        <a:gradFill rotWithShape="1">
          <a:gsLst>
            <a:gs pos="0">
              <a:schemeClr val="phClr">
                <a:shade val="50000"/>
                <a:satMod val="145000"/>
              </a:schemeClr>
            </a:gs>
            <a:gs pos="30000">
              <a:schemeClr val="phClr">
                <a:shade val="65000"/>
                <a:satMod val="155000"/>
              </a:schemeClr>
            </a:gs>
            <a:gs pos="100000">
              <a:schemeClr val="phClr">
                <a:tint val="60000"/>
                <a:satMod val="170000"/>
              </a:schemeClr>
            </a:gs>
          </a:gsLst>
          <a:lin ang="162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logPostInfo xmlns="http://www.microsoft.com/Office/Word/BlogTool">
  <PostTitle>Westpac’s ‘Currency-Picker’ Continues to Advocate Holding Aussie Dollar </PostTitle>
  <PostDate/>
  <PostID/>
  <Category1/>
  <Category2/>
  <Category3/>
  <Category4/>
  <Category5/>
  <Category6/>
  <Category7/>
  <Category8/>
  <Category9/>
  <Category10/>
  <Account/>
  <Enclosure/>
  <ProviderInfo>
    <PostURL/>
    <API/>
    <Categories/>
    <Trackbacks/>
    <Enclosures/>
    <BlogName/>
    <ImagePostAddress/>
  </ProviderInfo>
  <DefaultAccountEnsured/>
</BlogPostInfo>
</file>

<file path=customXml/itemProps1.xml><?xml version="1.0" encoding="utf-8"?>
<ds:datastoreItem xmlns:ds="http://schemas.openxmlformats.org/officeDocument/2006/customXml" ds:itemID="{5D1E2072-A7E3-4DAE-9149-608034D634FC}">
  <ds:schemaRefs>
    <ds:schemaRef ds:uri="http://schemas.microsoft.com/sharepoint/v3/contenttype/forms"/>
  </ds:schemaRefs>
</ds:datastoreItem>
</file>

<file path=customXml/itemProps2.xml><?xml version="1.0" encoding="utf-8"?>
<ds:datastoreItem xmlns:ds="http://schemas.openxmlformats.org/officeDocument/2006/customXml" ds:itemID="{5F329CAD-B019-4FA6-9FEF-74898909AD20}">
  <ds:schemaRefs>
    <ds:schemaRef ds:uri="http://www.microsoft.com/Office/Word/BlogTool"/>
  </ds:schemaRefs>
</ds:datastoreItem>
</file>

<file path=docProps/app.xml><?xml version="1.0" encoding="utf-8"?>
<Properties xmlns="http://schemas.openxmlformats.org/officeDocument/2006/extended-properties" xmlns:vt="http://schemas.openxmlformats.org/officeDocument/2006/docPropsVTypes">
  <Template>Blog post</Template>
  <TotalTime>57</TotalTime>
  <Pages>1</Pages>
  <Words>627</Words>
  <Characters>3578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Joaquin Monfort</dc:creator>
  <cp:keywords/>
  <dc:description/>
  <cp:lastModifiedBy>Joaquin Monfort</cp:lastModifiedBy>
  <cp:revision>4</cp:revision>
  <dcterms:created xsi:type="dcterms:W3CDTF">2016-07-19T14:09:00Z</dcterms:created>
  <dcterms:modified xsi:type="dcterms:W3CDTF">2016-07-19T15:06:00Z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TC028435959991</vt:lpwstr>
  </property>
</Properties>
</file>