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80E" w:rsidRPr="0062480E" w:rsidRDefault="0062480E" w:rsidP="0062480E">
      <w:pPr>
        <w:rPr>
          <w:b/>
          <w:sz w:val="28"/>
          <w:szCs w:val="28"/>
          <w:u w:val="single"/>
        </w:rPr>
      </w:pPr>
      <w:r w:rsidRPr="0062480E">
        <w:rPr>
          <w:b/>
          <w:sz w:val="28"/>
          <w:szCs w:val="28"/>
          <w:u w:val="single"/>
        </w:rPr>
        <w:t>Euro to US Dollar in the next five days</w:t>
      </w:r>
    </w:p>
    <w:p w:rsidR="00436DC7" w:rsidRDefault="00436DC7" w:rsidP="00436DC7">
      <w:pPr>
        <w:rPr>
          <w:sz w:val="28"/>
          <w:szCs w:val="28"/>
        </w:rPr>
      </w:pPr>
      <w:r>
        <w:rPr>
          <w:sz w:val="28"/>
          <w:szCs w:val="28"/>
        </w:rPr>
        <w:t>T</w:t>
      </w:r>
      <w:r>
        <w:rPr>
          <w:sz w:val="28"/>
          <w:szCs w:val="28"/>
        </w:rPr>
        <w:t>he meeting of the Feder</w:t>
      </w:r>
      <w:r>
        <w:rPr>
          <w:sz w:val="28"/>
          <w:szCs w:val="28"/>
        </w:rPr>
        <w:t>al Reserve (FOMC) on Wednesday Jul 27 is arguably t</w:t>
      </w:r>
      <w:r>
        <w:rPr>
          <w:sz w:val="28"/>
          <w:szCs w:val="28"/>
        </w:rPr>
        <w:t>he most significant event for the pair</w:t>
      </w:r>
      <w:r>
        <w:rPr>
          <w:sz w:val="28"/>
          <w:szCs w:val="28"/>
        </w:rPr>
        <w:t xml:space="preserve"> in the week ahead. </w:t>
      </w:r>
    </w:p>
    <w:p w:rsidR="00436DC7" w:rsidRDefault="00436DC7" w:rsidP="00436DC7">
      <w:pPr>
        <w:rPr>
          <w:sz w:val="28"/>
          <w:szCs w:val="28"/>
        </w:rPr>
      </w:pPr>
      <w:r>
        <w:rPr>
          <w:sz w:val="28"/>
          <w:szCs w:val="28"/>
        </w:rPr>
        <w:t xml:space="preserve">It is probable that we will get </w:t>
      </w:r>
      <w:r>
        <w:rPr>
          <w:sz w:val="28"/>
          <w:szCs w:val="28"/>
        </w:rPr>
        <w:t>a more hawkish</w:t>
      </w:r>
      <w:r>
        <w:rPr>
          <w:sz w:val="28"/>
          <w:szCs w:val="28"/>
        </w:rPr>
        <w:t>,</w:t>
      </w:r>
      <w:r>
        <w:rPr>
          <w:sz w:val="28"/>
          <w:szCs w:val="28"/>
        </w:rPr>
        <w:t xml:space="preserve"> upbeat message from the Fed, probably paving the way for a reinstatement of a 2016 rate hike. </w:t>
      </w:r>
    </w:p>
    <w:p w:rsidR="00436DC7" w:rsidRDefault="00436DC7" w:rsidP="00436DC7">
      <w:pPr>
        <w:rPr>
          <w:sz w:val="28"/>
          <w:szCs w:val="28"/>
        </w:rPr>
      </w:pPr>
      <w:r>
        <w:rPr>
          <w:sz w:val="28"/>
          <w:szCs w:val="28"/>
        </w:rPr>
        <w:t>Financial markets have settled down now following the short-lived volatility which followed Brexit</w:t>
      </w:r>
      <w:r w:rsidR="0068107B">
        <w:rPr>
          <w:sz w:val="28"/>
          <w:szCs w:val="28"/>
        </w:rPr>
        <w:t>,</w:t>
      </w:r>
      <w:r>
        <w:rPr>
          <w:sz w:val="28"/>
          <w:szCs w:val="28"/>
        </w:rPr>
        <w:t xml:space="preserve"> and June Payrolls </w:t>
      </w:r>
      <w:r w:rsidR="0068107B">
        <w:rPr>
          <w:sz w:val="28"/>
          <w:szCs w:val="28"/>
        </w:rPr>
        <w:t>came out better-than-expected rising back</w:t>
      </w:r>
      <w:r>
        <w:rPr>
          <w:sz w:val="28"/>
          <w:szCs w:val="28"/>
        </w:rPr>
        <w:t xml:space="preserve"> above 200k</w:t>
      </w:r>
      <w:r w:rsidR="0068107B">
        <w:rPr>
          <w:sz w:val="28"/>
          <w:szCs w:val="28"/>
        </w:rPr>
        <w:t>, and dispelling fears of an immi</w:t>
      </w:r>
      <w:bookmarkStart w:id="0" w:name="_GoBack"/>
      <w:bookmarkEnd w:id="0"/>
      <w:r w:rsidR="0068107B">
        <w:rPr>
          <w:sz w:val="28"/>
          <w:szCs w:val="28"/>
        </w:rPr>
        <w:t>nent recession</w:t>
      </w:r>
      <w:r>
        <w:rPr>
          <w:sz w:val="28"/>
          <w:szCs w:val="28"/>
        </w:rPr>
        <w:t xml:space="preserve">. </w:t>
      </w:r>
    </w:p>
    <w:p w:rsidR="00436DC7" w:rsidRDefault="00436DC7" w:rsidP="00436DC7">
      <w:pPr>
        <w:rPr>
          <w:sz w:val="28"/>
          <w:szCs w:val="28"/>
        </w:rPr>
      </w:pPr>
      <w:r>
        <w:rPr>
          <w:sz w:val="28"/>
          <w:szCs w:val="28"/>
        </w:rPr>
        <w:t xml:space="preserve">Morgan Stanley see a 50% probability of a rate hike by the end of the year. </w:t>
      </w:r>
    </w:p>
    <w:p w:rsidR="00436DC7" w:rsidRDefault="00436DC7" w:rsidP="00436DC7">
      <w:pPr>
        <w:rPr>
          <w:sz w:val="28"/>
          <w:szCs w:val="28"/>
        </w:rPr>
      </w:pPr>
      <w:r>
        <w:rPr>
          <w:sz w:val="28"/>
          <w:szCs w:val="28"/>
        </w:rPr>
        <w:t>“</w:t>
      </w:r>
      <w:r w:rsidRPr="00396F2F">
        <w:rPr>
          <w:sz w:val="28"/>
          <w:szCs w:val="28"/>
        </w:rPr>
        <w:t>Our</w:t>
      </w:r>
      <w:r>
        <w:rPr>
          <w:sz w:val="28"/>
          <w:szCs w:val="28"/>
        </w:rPr>
        <w:t xml:space="preserve"> </w:t>
      </w:r>
      <w:r w:rsidRPr="00396F2F">
        <w:rPr>
          <w:sz w:val="28"/>
          <w:szCs w:val="28"/>
        </w:rPr>
        <w:t>ec</w:t>
      </w:r>
      <w:r>
        <w:rPr>
          <w:sz w:val="28"/>
          <w:szCs w:val="28"/>
        </w:rPr>
        <w:t xml:space="preserve">onomists expect next week's Fed </w:t>
      </w:r>
      <w:r w:rsidRPr="00396F2F">
        <w:rPr>
          <w:sz w:val="28"/>
          <w:szCs w:val="28"/>
        </w:rPr>
        <w:t>meeting to be</w:t>
      </w:r>
      <w:r>
        <w:rPr>
          <w:sz w:val="28"/>
          <w:szCs w:val="28"/>
        </w:rPr>
        <w:t xml:space="preserve"> </w:t>
      </w:r>
      <w:r w:rsidRPr="00396F2F">
        <w:rPr>
          <w:sz w:val="28"/>
          <w:szCs w:val="28"/>
        </w:rPr>
        <w:t>ambiguous,</w:t>
      </w:r>
      <w:r>
        <w:rPr>
          <w:sz w:val="28"/>
          <w:szCs w:val="28"/>
        </w:rPr>
        <w:t xml:space="preserve"> </w:t>
      </w:r>
      <w:r w:rsidRPr="00396F2F">
        <w:rPr>
          <w:sz w:val="28"/>
          <w:szCs w:val="28"/>
        </w:rPr>
        <w:t>keeping opti</w:t>
      </w:r>
      <w:r>
        <w:rPr>
          <w:sz w:val="28"/>
          <w:szCs w:val="28"/>
        </w:rPr>
        <w:t xml:space="preserve">ons open. Market pricing of the </w:t>
      </w:r>
      <w:r w:rsidRPr="00396F2F">
        <w:rPr>
          <w:sz w:val="28"/>
          <w:szCs w:val="28"/>
        </w:rPr>
        <w:t>probability of a Fed hike</w:t>
      </w:r>
      <w:r>
        <w:rPr>
          <w:sz w:val="28"/>
          <w:szCs w:val="28"/>
        </w:rPr>
        <w:t xml:space="preserve"> </w:t>
      </w:r>
      <w:r w:rsidRPr="00396F2F">
        <w:rPr>
          <w:sz w:val="28"/>
          <w:szCs w:val="28"/>
        </w:rPr>
        <w:t>this year has moved u</w:t>
      </w:r>
      <w:r>
        <w:rPr>
          <w:sz w:val="28"/>
          <w:szCs w:val="28"/>
        </w:rPr>
        <w:t xml:space="preserve">p to 50%, a level with which the </w:t>
      </w:r>
      <w:r w:rsidRPr="00396F2F">
        <w:rPr>
          <w:sz w:val="28"/>
          <w:szCs w:val="28"/>
        </w:rPr>
        <w:t>Fed is likely comfortable.</w:t>
      </w:r>
      <w:r>
        <w:rPr>
          <w:sz w:val="28"/>
          <w:szCs w:val="28"/>
        </w:rPr>
        <w:t xml:space="preserve"> </w:t>
      </w:r>
      <w:r w:rsidRPr="00396F2F">
        <w:rPr>
          <w:sz w:val="28"/>
          <w:szCs w:val="28"/>
        </w:rPr>
        <w:t>We</w:t>
      </w:r>
      <w:r>
        <w:rPr>
          <w:sz w:val="28"/>
          <w:szCs w:val="28"/>
        </w:rPr>
        <w:t xml:space="preserve"> </w:t>
      </w:r>
      <w:r w:rsidRPr="00396F2F">
        <w:rPr>
          <w:sz w:val="28"/>
          <w:szCs w:val="28"/>
        </w:rPr>
        <w:t>comfortable.</w:t>
      </w:r>
      <w:r>
        <w:rPr>
          <w:sz w:val="28"/>
          <w:szCs w:val="28"/>
        </w:rPr>
        <w:t xml:space="preserve"> </w:t>
      </w:r>
      <w:r w:rsidRPr="00396F2F">
        <w:rPr>
          <w:sz w:val="28"/>
          <w:szCs w:val="28"/>
        </w:rPr>
        <w:t>We believe</w:t>
      </w:r>
      <w:r>
        <w:rPr>
          <w:sz w:val="28"/>
          <w:szCs w:val="28"/>
        </w:rPr>
        <w:t xml:space="preserve"> </w:t>
      </w:r>
      <w:r w:rsidRPr="00396F2F">
        <w:rPr>
          <w:sz w:val="28"/>
          <w:szCs w:val="28"/>
        </w:rPr>
        <w:t>risk-reward going into the</w:t>
      </w:r>
      <w:r>
        <w:rPr>
          <w:sz w:val="28"/>
          <w:szCs w:val="28"/>
        </w:rPr>
        <w:t xml:space="preserve"> </w:t>
      </w:r>
      <w:r w:rsidRPr="00396F2F">
        <w:rPr>
          <w:sz w:val="28"/>
          <w:szCs w:val="28"/>
        </w:rPr>
        <w:t>Fed meeting is</w:t>
      </w:r>
      <w:r>
        <w:rPr>
          <w:sz w:val="28"/>
          <w:szCs w:val="28"/>
        </w:rPr>
        <w:t xml:space="preserve"> </w:t>
      </w:r>
      <w:r w:rsidRPr="00396F2F">
        <w:rPr>
          <w:sz w:val="28"/>
          <w:szCs w:val="28"/>
        </w:rPr>
        <w:t>fairly balanced, leaving us comfortable</w:t>
      </w:r>
      <w:r>
        <w:rPr>
          <w:sz w:val="28"/>
          <w:szCs w:val="28"/>
        </w:rPr>
        <w:t xml:space="preserve"> holding USD shorts through the </w:t>
      </w:r>
      <w:r w:rsidRPr="00396F2F">
        <w:rPr>
          <w:sz w:val="28"/>
          <w:szCs w:val="28"/>
        </w:rPr>
        <w:t>meeting.</w:t>
      </w:r>
      <w:r>
        <w:rPr>
          <w:sz w:val="28"/>
          <w:szCs w:val="28"/>
        </w:rPr>
        <w:t>”</w:t>
      </w:r>
    </w:p>
    <w:p w:rsidR="001D5501" w:rsidRPr="001D5501" w:rsidRDefault="001D5501" w:rsidP="0062480E">
      <w:pPr>
        <w:rPr>
          <w:b/>
          <w:sz w:val="28"/>
          <w:szCs w:val="28"/>
        </w:rPr>
      </w:pPr>
      <w:r w:rsidRPr="001D5501">
        <w:rPr>
          <w:b/>
          <w:sz w:val="28"/>
          <w:szCs w:val="28"/>
        </w:rPr>
        <w:t>Chart still signalling more downside</w:t>
      </w:r>
    </w:p>
    <w:p w:rsidR="0062480E" w:rsidRDefault="0062480E" w:rsidP="0062480E">
      <w:pPr>
        <w:rPr>
          <w:sz w:val="28"/>
          <w:szCs w:val="28"/>
        </w:rPr>
      </w:pPr>
      <w:r>
        <w:rPr>
          <w:sz w:val="28"/>
          <w:szCs w:val="28"/>
        </w:rPr>
        <w:t xml:space="preserve">The EUR/USD pair </w:t>
      </w:r>
      <w:r w:rsidR="001D5501">
        <w:rPr>
          <w:sz w:val="28"/>
          <w:szCs w:val="28"/>
        </w:rPr>
        <w:t>has continued declining after breaking b</w:t>
      </w:r>
      <w:r>
        <w:rPr>
          <w:sz w:val="28"/>
          <w:szCs w:val="28"/>
        </w:rPr>
        <w:t xml:space="preserve">elow the lower border-line of a </w:t>
      </w:r>
      <w:r w:rsidR="001D5501">
        <w:rPr>
          <w:sz w:val="28"/>
          <w:szCs w:val="28"/>
        </w:rPr>
        <w:t xml:space="preserve">multi-month </w:t>
      </w:r>
      <w:r>
        <w:rPr>
          <w:sz w:val="28"/>
          <w:szCs w:val="28"/>
        </w:rPr>
        <w:t xml:space="preserve">rising channel. </w:t>
      </w:r>
    </w:p>
    <w:p w:rsidR="001D5501" w:rsidRDefault="001D5501" w:rsidP="0062480E">
      <w:pPr>
        <w:rPr>
          <w:sz w:val="28"/>
          <w:szCs w:val="28"/>
        </w:rPr>
      </w:pPr>
      <w:r>
        <w:rPr>
          <w:sz w:val="28"/>
          <w:szCs w:val="28"/>
        </w:rPr>
        <w:t xml:space="preserve">It is expected to continue selling off until it has reached the target for the channel breakout, at around 1.0750, which is calculated from extrapolating the height of the channel down, from the point of the break. </w:t>
      </w:r>
    </w:p>
    <w:p w:rsidR="001D5501" w:rsidRDefault="001D5501" w:rsidP="0062480E">
      <w:pPr>
        <w:rPr>
          <w:sz w:val="28"/>
          <w:szCs w:val="28"/>
        </w:rPr>
      </w:pPr>
      <w:r>
        <w:rPr>
          <w:sz w:val="28"/>
          <w:szCs w:val="28"/>
        </w:rPr>
        <w:t xml:space="preserve">A strong support level at 1.0861, however, provides an interim target, where the exchange rate will almost certainly pause or possibly even bounce. </w:t>
      </w:r>
    </w:p>
    <w:p w:rsidR="001D5501" w:rsidRDefault="001D5501" w:rsidP="0062480E">
      <w:pPr>
        <w:rPr>
          <w:sz w:val="28"/>
          <w:szCs w:val="28"/>
        </w:rPr>
      </w:pPr>
      <w:r>
        <w:rPr>
          <w:sz w:val="28"/>
          <w:szCs w:val="28"/>
        </w:rPr>
        <w:t xml:space="preserve">The MACD momentum indicator in the bottom pane has crossed its signal line, supporting the bearish outlook. </w:t>
      </w:r>
    </w:p>
    <w:p w:rsidR="0062480E" w:rsidRPr="0062480E" w:rsidRDefault="001D5501" w:rsidP="0062480E">
      <w:pPr>
        <w:rPr>
          <w:sz w:val="28"/>
          <w:szCs w:val="28"/>
        </w:rPr>
      </w:pPr>
      <w:r>
        <w:rPr>
          <w:sz w:val="28"/>
          <w:szCs w:val="28"/>
        </w:rPr>
        <w:t xml:space="preserve">A break below the 1.0909 Brexit spike lows would provide added confirmation of further downside for the pair.   </w:t>
      </w:r>
    </w:p>
    <w:p w:rsidR="0062480E" w:rsidRPr="0062480E" w:rsidRDefault="0062480E" w:rsidP="0062480E">
      <w:pPr>
        <w:rPr>
          <w:b/>
          <w:sz w:val="28"/>
          <w:szCs w:val="28"/>
        </w:rPr>
      </w:pPr>
      <w:r w:rsidRPr="0062480E">
        <w:rPr>
          <w:b/>
          <w:sz w:val="28"/>
          <w:szCs w:val="28"/>
        </w:rPr>
        <w:t xml:space="preserve">Outlook for the euro in the week ahead </w:t>
      </w:r>
    </w:p>
    <w:p w:rsidR="0062480E" w:rsidRPr="0062480E" w:rsidRDefault="0062480E" w:rsidP="0062480E">
      <w:pPr>
        <w:rPr>
          <w:sz w:val="28"/>
          <w:szCs w:val="28"/>
        </w:rPr>
      </w:pPr>
      <w:r w:rsidRPr="0062480E">
        <w:rPr>
          <w:sz w:val="28"/>
          <w:szCs w:val="28"/>
        </w:rPr>
        <w:t xml:space="preserve">CPI in July, </w:t>
      </w:r>
      <w:r w:rsidR="00436DC7">
        <w:rPr>
          <w:sz w:val="28"/>
          <w:szCs w:val="28"/>
        </w:rPr>
        <w:t xml:space="preserve">is the most important release for euro in the week ahead, and </w:t>
      </w:r>
      <w:proofErr w:type="gramStart"/>
      <w:r w:rsidR="00436DC7">
        <w:rPr>
          <w:sz w:val="28"/>
          <w:szCs w:val="28"/>
        </w:rPr>
        <w:t xml:space="preserve">this </w:t>
      </w:r>
      <w:r w:rsidRPr="0062480E">
        <w:rPr>
          <w:sz w:val="28"/>
          <w:szCs w:val="28"/>
        </w:rPr>
        <w:t xml:space="preserve"> will</w:t>
      </w:r>
      <w:proofErr w:type="gramEnd"/>
      <w:r w:rsidRPr="0062480E">
        <w:rPr>
          <w:sz w:val="28"/>
          <w:szCs w:val="28"/>
        </w:rPr>
        <w:t xml:space="preserve"> be published on Friday 29</w:t>
      </w:r>
      <w:r w:rsidRPr="0062480E">
        <w:rPr>
          <w:sz w:val="28"/>
          <w:szCs w:val="28"/>
          <w:vertAlign w:val="superscript"/>
        </w:rPr>
        <w:t>th</w:t>
      </w:r>
      <w:r w:rsidRPr="0062480E">
        <w:rPr>
          <w:sz w:val="28"/>
          <w:szCs w:val="28"/>
        </w:rPr>
        <w:t xml:space="preserve">. </w:t>
      </w:r>
    </w:p>
    <w:p w:rsidR="0062480E" w:rsidRPr="0062480E" w:rsidRDefault="0062480E" w:rsidP="0062480E">
      <w:pPr>
        <w:rPr>
          <w:sz w:val="28"/>
          <w:szCs w:val="28"/>
        </w:rPr>
      </w:pPr>
      <w:r w:rsidRPr="0062480E">
        <w:rPr>
          <w:sz w:val="28"/>
          <w:szCs w:val="28"/>
        </w:rPr>
        <w:t xml:space="preserve">It is expected to come out at 0.1% - the same as June. </w:t>
      </w:r>
    </w:p>
    <w:p w:rsidR="0062480E" w:rsidRPr="0062480E" w:rsidRDefault="00436DC7" w:rsidP="0062480E">
      <w:pPr>
        <w:rPr>
          <w:sz w:val="28"/>
          <w:szCs w:val="28"/>
        </w:rPr>
      </w:pPr>
      <w:r>
        <w:rPr>
          <w:sz w:val="28"/>
          <w:szCs w:val="28"/>
        </w:rPr>
        <w:t>July</w:t>
      </w:r>
      <w:r w:rsidR="0062480E" w:rsidRPr="0062480E">
        <w:rPr>
          <w:sz w:val="28"/>
          <w:szCs w:val="28"/>
        </w:rPr>
        <w:t xml:space="preserve"> Manufacturing and Services PMI’s, showed the Eurozone economy coping quite well after the shock of Brexit, but</w:t>
      </w:r>
      <w:r>
        <w:rPr>
          <w:sz w:val="28"/>
          <w:szCs w:val="28"/>
        </w:rPr>
        <w:t xml:space="preserve"> the</w:t>
      </w:r>
      <w:r w:rsidR="0062480E" w:rsidRPr="0062480E">
        <w:rPr>
          <w:sz w:val="28"/>
          <w:szCs w:val="28"/>
        </w:rPr>
        <w:t xml:space="preserve"> July CPI </w:t>
      </w:r>
      <w:r>
        <w:rPr>
          <w:sz w:val="28"/>
          <w:szCs w:val="28"/>
        </w:rPr>
        <w:t xml:space="preserve">data </w:t>
      </w:r>
      <w:r w:rsidR="0062480E" w:rsidRPr="0062480E">
        <w:rPr>
          <w:sz w:val="28"/>
          <w:szCs w:val="28"/>
        </w:rPr>
        <w:t xml:space="preserve">will be another useful </w:t>
      </w:r>
      <w:r>
        <w:rPr>
          <w:sz w:val="28"/>
          <w:szCs w:val="28"/>
        </w:rPr>
        <w:lastRenderedPageBreak/>
        <w:t xml:space="preserve">gauge </w:t>
      </w:r>
      <w:r w:rsidR="0062480E" w:rsidRPr="0062480E">
        <w:rPr>
          <w:sz w:val="28"/>
          <w:szCs w:val="28"/>
        </w:rPr>
        <w:t xml:space="preserve">of how the UK’s </w:t>
      </w:r>
      <w:r>
        <w:rPr>
          <w:sz w:val="28"/>
          <w:szCs w:val="28"/>
        </w:rPr>
        <w:t xml:space="preserve">exit </w:t>
      </w:r>
      <w:r w:rsidR="0062480E" w:rsidRPr="0062480E">
        <w:rPr>
          <w:sz w:val="28"/>
          <w:szCs w:val="28"/>
        </w:rPr>
        <w:t xml:space="preserve">from the EU has </w:t>
      </w:r>
      <w:r>
        <w:rPr>
          <w:sz w:val="28"/>
          <w:szCs w:val="28"/>
        </w:rPr>
        <w:t xml:space="preserve">impacted on </w:t>
      </w:r>
      <w:r w:rsidR="0062480E" w:rsidRPr="0062480E">
        <w:rPr>
          <w:sz w:val="28"/>
          <w:szCs w:val="28"/>
        </w:rPr>
        <w:t xml:space="preserve">the Eurozone economy. </w:t>
      </w:r>
    </w:p>
    <w:p w:rsidR="0062480E" w:rsidRPr="0062480E" w:rsidRDefault="0062480E" w:rsidP="0062480E">
      <w:pPr>
        <w:rPr>
          <w:sz w:val="28"/>
          <w:szCs w:val="28"/>
        </w:rPr>
      </w:pPr>
      <w:r w:rsidRPr="0062480E">
        <w:rPr>
          <w:sz w:val="28"/>
          <w:szCs w:val="28"/>
        </w:rPr>
        <w:t xml:space="preserve">The inflation data will also influence central bank policy and whether the ECB decides to press the button on further stimulus in September. </w:t>
      </w:r>
    </w:p>
    <w:p w:rsidR="0062480E" w:rsidRPr="0062480E" w:rsidRDefault="0062480E" w:rsidP="0062480E">
      <w:pPr>
        <w:rPr>
          <w:sz w:val="28"/>
          <w:szCs w:val="28"/>
        </w:rPr>
      </w:pPr>
      <w:r w:rsidRPr="0062480E">
        <w:rPr>
          <w:sz w:val="28"/>
          <w:szCs w:val="28"/>
        </w:rPr>
        <w:t xml:space="preserve">The ECB’s July meeting on Thursday suggested a change of stance to a more ‘wait-and-see’ approach in regards to more stimulus; this was viewed as a shift to a more neutral stance by analysts, many of whom had seen a high probability of easing in the autumn. </w:t>
      </w:r>
    </w:p>
    <w:p w:rsidR="0062480E" w:rsidRPr="0062480E" w:rsidRDefault="0062480E" w:rsidP="0062480E">
      <w:pPr>
        <w:rPr>
          <w:sz w:val="28"/>
          <w:szCs w:val="28"/>
        </w:rPr>
      </w:pPr>
      <w:r w:rsidRPr="0062480E">
        <w:rPr>
          <w:sz w:val="28"/>
          <w:szCs w:val="28"/>
        </w:rPr>
        <w:t xml:space="preserve">The results from the European Banking Authority’s (EBA’s) EU-wide bank stress tests will be published on Friday. </w:t>
      </w:r>
    </w:p>
    <w:p w:rsidR="0062480E" w:rsidRPr="0062480E" w:rsidRDefault="0062480E" w:rsidP="0062480E">
      <w:pPr>
        <w:rPr>
          <w:sz w:val="28"/>
          <w:szCs w:val="28"/>
        </w:rPr>
      </w:pPr>
      <w:r w:rsidRPr="0062480E">
        <w:rPr>
          <w:sz w:val="28"/>
          <w:szCs w:val="28"/>
        </w:rPr>
        <w:t xml:space="preserve">Whilst the majority of banks are expected to pass the tests, there are some in certain countries, which may struggle. </w:t>
      </w:r>
    </w:p>
    <w:p w:rsidR="0062480E" w:rsidRPr="0062480E" w:rsidRDefault="0062480E" w:rsidP="0062480E">
      <w:pPr>
        <w:rPr>
          <w:sz w:val="28"/>
          <w:szCs w:val="28"/>
        </w:rPr>
      </w:pPr>
      <w:r w:rsidRPr="0062480E">
        <w:rPr>
          <w:sz w:val="28"/>
          <w:szCs w:val="28"/>
        </w:rPr>
        <w:t xml:space="preserve">Italian banks have struggled to keep their capital ratios in line with regulator’s guidelines as a result of a mixture of Brexit impact on bank stock prices and the high number of Non-performing loans weighing on their profitability. </w:t>
      </w:r>
    </w:p>
    <w:p w:rsidR="0062480E" w:rsidRPr="0062480E" w:rsidRDefault="0062480E" w:rsidP="0062480E">
      <w:pPr>
        <w:rPr>
          <w:sz w:val="28"/>
          <w:szCs w:val="28"/>
        </w:rPr>
      </w:pPr>
      <w:r w:rsidRPr="0062480E">
        <w:rPr>
          <w:sz w:val="28"/>
          <w:szCs w:val="28"/>
        </w:rPr>
        <w:t xml:space="preserve">Nordea Bank’s </w:t>
      </w:r>
      <w:proofErr w:type="spellStart"/>
      <w:r w:rsidRPr="0062480E">
        <w:rPr>
          <w:sz w:val="28"/>
          <w:szCs w:val="28"/>
        </w:rPr>
        <w:t>Tuuli</w:t>
      </w:r>
      <w:proofErr w:type="spellEnd"/>
      <w:r w:rsidRPr="0062480E">
        <w:rPr>
          <w:sz w:val="28"/>
          <w:szCs w:val="28"/>
        </w:rPr>
        <w:t xml:space="preserve"> </w:t>
      </w:r>
      <w:proofErr w:type="spellStart"/>
      <w:r w:rsidRPr="0062480E">
        <w:rPr>
          <w:sz w:val="28"/>
          <w:szCs w:val="28"/>
        </w:rPr>
        <w:t>Koivu</w:t>
      </w:r>
      <w:proofErr w:type="spellEnd"/>
      <w:r w:rsidRPr="0062480E">
        <w:rPr>
          <w:sz w:val="28"/>
          <w:szCs w:val="28"/>
        </w:rPr>
        <w:t xml:space="preserve">, comments that: </w:t>
      </w:r>
    </w:p>
    <w:p w:rsidR="0062480E" w:rsidRPr="0062480E" w:rsidRDefault="0062480E" w:rsidP="0062480E">
      <w:pPr>
        <w:rPr>
          <w:sz w:val="28"/>
          <w:szCs w:val="28"/>
        </w:rPr>
      </w:pPr>
      <w:r w:rsidRPr="0062480E">
        <w:rPr>
          <w:b/>
          <w:sz w:val="28"/>
          <w:szCs w:val="28"/>
        </w:rPr>
        <w:t>“</w:t>
      </w:r>
      <w:r w:rsidRPr="0062480E">
        <w:rPr>
          <w:rStyle w:val="Strong"/>
          <w:b w:val="0"/>
          <w:sz w:val="28"/>
          <w:szCs w:val="28"/>
        </w:rPr>
        <w:t>At the aggregate level, we do not expect the results to bring surprises given the generally rising trend in banks’ level of capital</w:t>
      </w:r>
      <w:r w:rsidRPr="0062480E">
        <w:rPr>
          <w:rStyle w:val="Strong"/>
          <w:sz w:val="28"/>
          <w:szCs w:val="28"/>
        </w:rPr>
        <w:t>.</w:t>
      </w:r>
      <w:r w:rsidRPr="0062480E">
        <w:rPr>
          <w:sz w:val="28"/>
          <w:szCs w:val="28"/>
        </w:rPr>
        <w:t xml:space="preserve"> However, continuously weak economic development has raised risks in some countries as banks are suffering from non-performing loans and low profitability which has complicated banks’ efforts to improve the capital ratios. Thus, it is likely that the stress tests find a need for improvement at least in few banks.”</w:t>
      </w:r>
    </w:p>
    <w:p w:rsidR="0062480E" w:rsidRDefault="0062480E" w:rsidP="0062480E">
      <w:pPr>
        <w:rPr>
          <w:b/>
          <w:sz w:val="28"/>
          <w:szCs w:val="28"/>
        </w:rPr>
      </w:pPr>
      <w:r>
        <w:rPr>
          <w:b/>
          <w:sz w:val="28"/>
          <w:szCs w:val="28"/>
        </w:rPr>
        <w:t xml:space="preserve">US Data </w:t>
      </w:r>
    </w:p>
    <w:p w:rsidR="0062480E" w:rsidRDefault="00436DC7" w:rsidP="0062480E">
      <w:pPr>
        <w:rPr>
          <w:sz w:val="28"/>
          <w:szCs w:val="28"/>
        </w:rPr>
      </w:pPr>
      <w:r>
        <w:rPr>
          <w:sz w:val="28"/>
          <w:szCs w:val="28"/>
        </w:rPr>
        <w:t xml:space="preserve">Data in the previous week showed </w:t>
      </w:r>
      <w:r w:rsidR="0062480E">
        <w:rPr>
          <w:sz w:val="28"/>
          <w:szCs w:val="28"/>
        </w:rPr>
        <w:t xml:space="preserve">the housing sector in fine fettle. </w:t>
      </w:r>
    </w:p>
    <w:p w:rsidR="0062480E" w:rsidRDefault="0062480E" w:rsidP="0062480E">
      <w:pPr>
        <w:rPr>
          <w:sz w:val="28"/>
          <w:szCs w:val="28"/>
        </w:rPr>
      </w:pPr>
      <w:r>
        <w:rPr>
          <w:sz w:val="28"/>
          <w:szCs w:val="28"/>
        </w:rPr>
        <w:t xml:space="preserve">Building Permits </w:t>
      </w:r>
      <w:r w:rsidR="00436DC7">
        <w:rPr>
          <w:sz w:val="28"/>
          <w:szCs w:val="28"/>
        </w:rPr>
        <w:t xml:space="preserve">rose by </w:t>
      </w:r>
      <w:r>
        <w:rPr>
          <w:sz w:val="28"/>
          <w:szCs w:val="28"/>
        </w:rPr>
        <w:t xml:space="preserve">1.5%, Existing Homes Sales also rose more than expected, but the Philadelphia Fed Manufacturing Index declined to -2.9 from 4.9 previously when 5.0 had been expected. </w:t>
      </w:r>
    </w:p>
    <w:p w:rsidR="00436DC7" w:rsidRDefault="0062480E" w:rsidP="0062480E">
      <w:pPr>
        <w:rPr>
          <w:sz w:val="28"/>
          <w:szCs w:val="28"/>
        </w:rPr>
      </w:pPr>
      <w:r>
        <w:rPr>
          <w:sz w:val="28"/>
          <w:szCs w:val="28"/>
        </w:rPr>
        <w:t xml:space="preserve">Nevertheless, </w:t>
      </w:r>
      <w:r w:rsidR="00436DC7">
        <w:rPr>
          <w:sz w:val="28"/>
          <w:szCs w:val="28"/>
        </w:rPr>
        <w:t xml:space="preserve">due to global risk trends moderating, markets </w:t>
      </w:r>
      <w:r>
        <w:rPr>
          <w:sz w:val="28"/>
          <w:szCs w:val="28"/>
        </w:rPr>
        <w:t xml:space="preserve">seem to be starting to change their expectations </w:t>
      </w:r>
      <w:r w:rsidR="00436DC7">
        <w:rPr>
          <w:sz w:val="28"/>
          <w:szCs w:val="28"/>
        </w:rPr>
        <w:t xml:space="preserve">about when the </w:t>
      </w:r>
      <w:r>
        <w:rPr>
          <w:sz w:val="28"/>
          <w:szCs w:val="28"/>
        </w:rPr>
        <w:t>Fed</w:t>
      </w:r>
      <w:r w:rsidR="00436DC7">
        <w:rPr>
          <w:sz w:val="28"/>
          <w:szCs w:val="28"/>
        </w:rPr>
        <w:t xml:space="preserve"> will next raise interest rates. </w:t>
      </w:r>
    </w:p>
    <w:p w:rsidR="00436DC7" w:rsidRDefault="00436DC7" w:rsidP="0062480E">
      <w:pPr>
        <w:rPr>
          <w:sz w:val="28"/>
          <w:szCs w:val="28"/>
        </w:rPr>
      </w:pPr>
      <w:r>
        <w:rPr>
          <w:sz w:val="28"/>
          <w:szCs w:val="28"/>
        </w:rPr>
        <w:t xml:space="preserve">Following Brexit markets were not pricing in a rate rise until 2018; however, now there appears to be a 50/50 chance of a hike in 2016.  </w:t>
      </w:r>
    </w:p>
    <w:p w:rsidR="0062480E" w:rsidRDefault="0062480E" w:rsidP="0062480E">
      <w:pPr>
        <w:rPr>
          <w:sz w:val="28"/>
          <w:szCs w:val="28"/>
        </w:rPr>
      </w:pPr>
      <w:r>
        <w:rPr>
          <w:sz w:val="28"/>
          <w:szCs w:val="28"/>
        </w:rPr>
        <w:lastRenderedPageBreak/>
        <w:t>The preliminary second quarter GDP data on Friday is t</w:t>
      </w:r>
      <w:r w:rsidR="00484E1D">
        <w:rPr>
          <w:sz w:val="28"/>
          <w:szCs w:val="28"/>
        </w:rPr>
        <w:t>he other main release of the wee</w:t>
      </w:r>
      <w:r>
        <w:rPr>
          <w:sz w:val="28"/>
          <w:szCs w:val="28"/>
        </w:rPr>
        <w:t>k as markets have been eagerly anticipating how Q2</w:t>
      </w:r>
      <w:r w:rsidR="00484E1D">
        <w:rPr>
          <w:sz w:val="28"/>
          <w:szCs w:val="28"/>
        </w:rPr>
        <w:t xml:space="preserve"> growth will look ever since Q1’s </w:t>
      </w:r>
      <w:r>
        <w:rPr>
          <w:sz w:val="28"/>
          <w:szCs w:val="28"/>
        </w:rPr>
        <w:t xml:space="preserve">figures came out so badly. </w:t>
      </w:r>
    </w:p>
    <w:p w:rsidR="0062480E" w:rsidRDefault="00484E1D" w:rsidP="0062480E">
      <w:pPr>
        <w:rPr>
          <w:sz w:val="28"/>
          <w:szCs w:val="28"/>
        </w:rPr>
      </w:pPr>
      <w:r>
        <w:rPr>
          <w:sz w:val="28"/>
          <w:szCs w:val="28"/>
        </w:rPr>
        <w:t xml:space="preserve">Investors are asking themselves, will </w:t>
      </w:r>
      <w:r w:rsidR="0062480E">
        <w:rPr>
          <w:sz w:val="28"/>
          <w:szCs w:val="28"/>
        </w:rPr>
        <w:t xml:space="preserve">Q2 will be was it as bad as Q1? </w:t>
      </w:r>
    </w:p>
    <w:p w:rsidR="00484E1D" w:rsidRDefault="0062480E" w:rsidP="0062480E">
      <w:pPr>
        <w:rPr>
          <w:sz w:val="28"/>
          <w:szCs w:val="28"/>
        </w:rPr>
      </w:pPr>
      <w:r>
        <w:rPr>
          <w:sz w:val="28"/>
          <w:szCs w:val="28"/>
        </w:rPr>
        <w:t xml:space="preserve">June Durable Goods orders are scheduled for Wednesday morning, but unlikely to impact </w:t>
      </w:r>
      <w:r w:rsidR="00484E1D">
        <w:rPr>
          <w:sz w:val="28"/>
          <w:szCs w:val="28"/>
        </w:rPr>
        <w:t xml:space="preserve">rates much, </w:t>
      </w:r>
      <w:r>
        <w:rPr>
          <w:sz w:val="28"/>
          <w:szCs w:val="28"/>
        </w:rPr>
        <w:t xml:space="preserve">since markets will probably be moribund going into the Fed rate meeting. </w:t>
      </w:r>
    </w:p>
    <w:p w:rsidR="0062480E" w:rsidRDefault="00484E1D" w:rsidP="0062480E">
      <w:pPr>
        <w:rPr>
          <w:sz w:val="28"/>
          <w:szCs w:val="28"/>
        </w:rPr>
      </w:pPr>
      <w:r>
        <w:rPr>
          <w:sz w:val="28"/>
          <w:szCs w:val="28"/>
        </w:rPr>
        <w:t>O</w:t>
      </w:r>
      <w:r w:rsidR="0062480E">
        <w:rPr>
          <w:sz w:val="28"/>
          <w:szCs w:val="28"/>
        </w:rPr>
        <w:t xml:space="preserve">ut on the same day is Pending Home Sales. </w:t>
      </w:r>
    </w:p>
    <w:p w:rsidR="00484E1D" w:rsidRDefault="0062480E" w:rsidP="0062480E">
      <w:pPr>
        <w:rPr>
          <w:sz w:val="28"/>
          <w:szCs w:val="28"/>
        </w:rPr>
      </w:pPr>
      <w:r>
        <w:rPr>
          <w:sz w:val="28"/>
          <w:szCs w:val="28"/>
        </w:rPr>
        <w:t>On Tuesday Consumer Confidence in July</w:t>
      </w:r>
      <w:r w:rsidR="00484E1D">
        <w:rPr>
          <w:sz w:val="28"/>
          <w:szCs w:val="28"/>
        </w:rPr>
        <w:t xml:space="preserve"> will be published</w:t>
      </w:r>
      <w:r>
        <w:rPr>
          <w:sz w:val="28"/>
          <w:szCs w:val="28"/>
        </w:rPr>
        <w:t>, which is forecast to</w:t>
      </w:r>
      <w:r w:rsidR="00484E1D">
        <w:rPr>
          <w:sz w:val="28"/>
          <w:szCs w:val="28"/>
        </w:rPr>
        <w:t xml:space="preserve"> fall to 95.5. </w:t>
      </w:r>
    </w:p>
    <w:p w:rsidR="0062480E" w:rsidRDefault="0062480E" w:rsidP="0062480E">
      <w:pPr>
        <w:rPr>
          <w:sz w:val="28"/>
          <w:szCs w:val="28"/>
        </w:rPr>
      </w:pPr>
      <w:r>
        <w:rPr>
          <w:sz w:val="28"/>
          <w:szCs w:val="28"/>
        </w:rPr>
        <w:t>New Home Sales</w:t>
      </w:r>
      <w:r w:rsidR="00484E1D">
        <w:rPr>
          <w:sz w:val="28"/>
          <w:szCs w:val="28"/>
        </w:rPr>
        <w:t xml:space="preserve"> is also released then, and is</w:t>
      </w:r>
      <w:r>
        <w:rPr>
          <w:sz w:val="28"/>
          <w:szCs w:val="28"/>
        </w:rPr>
        <w:t xml:space="preserve"> forecast to rise to 560k. </w:t>
      </w:r>
    </w:p>
    <w:p w:rsidR="0062480E" w:rsidRPr="0062480E" w:rsidRDefault="0062480E">
      <w:pPr>
        <w:rPr>
          <w:sz w:val="28"/>
          <w:szCs w:val="28"/>
          <w:u w:val="single"/>
        </w:rPr>
      </w:pPr>
    </w:p>
    <w:sectPr w:rsidR="0062480E" w:rsidRPr="006248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80E"/>
    <w:rsid w:val="00033509"/>
    <w:rsid w:val="001D5501"/>
    <w:rsid w:val="00436DC7"/>
    <w:rsid w:val="00484E1D"/>
    <w:rsid w:val="0062480E"/>
    <w:rsid w:val="0068107B"/>
    <w:rsid w:val="00CD0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A6A42"/>
  <w15:chartTrackingRefBased/>
  <w15:docId w15:val="{29C07EBC-6D45-4DA9-96FE-78966FBA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62480E"/>
    <w:pPr>
      <w:spacing w:after="200" w:line="240" w:lineRule="auto"/>
    </w:pPr>
    <w:rPr>
      <w:rFonts w:eastAsiaTheme="minorEastAsia"/>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248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Monfort</dc:creator>
  <cp:keywords/>
  <dc:description/>
  <cp:lastModifiedBy>Joaquin Monfort</cp:lastModifiedBy>
  <cp:revision>3</cp:revision>
  <dcterms:created xsi:type="dcterms:W3CDTF">2016-07-25T07:25:00Z</dcterms:created>
  <dcterms:modified xsi:type="dcterms:W3CDTF">2016-07-25T07:56:00Z</dcterms:modified>
</cp:coreProperties>
</file>