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Post Title"/>
            <w:id w:val="89512082"/>
            <w:placeholder>
              <w:docPart w:val="89512082"/>
            </w:placeholder>
            <w:dataBinding w:xpath="/ns0:BlogPostInfo/ns0:PostTitle" w:storeItemID="{5F329CAD-B019-4FA6-9FEF-74898909AD20}"/>
            <w:text/>
          </w:sdtPr>
          <w:sdtEndPr/>
          <w:sdtContent>
            <w:p w:rsidR="00DD5834" w:rsidRDefault="00AD59AC">
              <w:pPr>
                <w:pStyle w:val="Publishwithline"/>
              </w:pPr>
              <w:r>
                <w:t>Euro to US Dollar Outlook for the Week Ahead</w:t>
              </w:r>
            </w:p>
          </w:sdtContent>
        </w:sdt>
        <w:p w:rsidR="00DD5834" w:rsidRDefault="00DD5834">
          <w:pPr>
            <w:pStyle w:val="underline"/>
          </w:pPr>
        </w:p>
        <w:p w:rsidR="00DD5834" w:rsidRDefault="00F03977">
          <w:pPr>
            <w:pStyle w:val="PadderBetweenControlandBody"/>
          </w:pPr>
        </w:p>
      </w:sdtContent>
    </w:sdt>
    <w:p w:rsidR="00AD59AC" w:rsidRDefault="00AD59AC" w:rsidP="00AD59AC">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Data for the Euro in the coming week</w:t>
      </w:r>
    </w:p>
    <w:p w:rsidR="00AD59AC" w:rsidRDefault="00AD59AC" w:rsidP="00AD59AC">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first big release for the euro will be the ZEW sentiment survey, on Tuesday which is expected to show a positive balance of 1.0, denoting investment professionals are marginally positive about the outlook for the next six months. </w:t>
      </w:r>
    </w:p>
    <w:p w:rsidR="00AD59AC" w:rsidRDefault="00AD59AC" w:rsidP="00AD59AC">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second major release from Europe is inflation data on Thursday which is expected to show a 0.2% rise </w:t>
      </w:r>
      <w:proofErr w:type="spellStart"/>
      <w:r>
        <w:rPr>
          <w:rFonts w:ascii="Times New Roman" w:eastAsia="Times New Roman" w:hAnsi="Times New Roman" w:cs="Times New Roman"/>
          <w:sz w:val="28"/>
          <w:szCs w:val="28"/>
        </w:rPr>
        <w:t>yoy</w:t>
      </w:r>
      <w:proofErr w:type="spellEnd"/>
      <w:r>
        <w:rPr>
          <w:rFonts w:ascii="Times New Roman" w:eastAsia="Times New Roman" w:hAnsi="Times New Roman" w:cs="Times New Roman"/>
          <w:sz w:val="28"/>
          <w:szCs w:val="28"/>
        </w:rPr>
        <w:t xml:space="preserve"> in July as in the previous year. Clearly inflation will be an invaluable metric to gain guidance on what the ECB may be planning to do in September. The central bank had said immediately after the </w:t>
      </w:r>
      <w:proofErr w:type="spellStart"/>
      <w:r>
        <w:rPr>
          <w:rFonts w:ascii="Times New Roman" w:eastAsia="Times New Roman" w:hAnsi="Times New Roman" w:cs="Times New Roman"/>
          <w:sz w:val="28"/>
          <w:szCs w:val="28"/>
        </w:rPr>
        <w:t>Uk</w:t>
      </w:r>
      <w:proofErr w:type="spellEnd"/>
      <w:r>
        <w:rPr>
          <w:rFonts w:ascii="Times New Roman" w:eastAsia="Times New Roman" w:hAnsi="Times New Roman" w:cs="Times New Roman"/>
          <w:sz w:val="28"/>
          <w:szCs w:val="28"/>
        </w:rPr>
        <w:t xml:space="preserve"> referendum that it stood ready to increase stimulus to soften the blow, however, Draghi somewhat backtracked from that position at the August meeting after it was noted the impact on the Eurozone had been somewhat muted. </w:t>
      </w:r>
    </w:p>
    <w:p w:rsidR="00DD5834" w:rsidRDefault="00AD59AC" w:rsidP="00AD59A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Nevertheless, many analysts, such as Lloyds Commercial Banking’s </w:t>
      </w:r>
      <w:proofErr w:type="spellStart"/>
      <w:r>
        <w:rPr>
          <w:rFonts w:ascii="Times New Roman" w:eastAsia="Times New Roman" w:hAnsi="Times New Roman" w:cs="Times New Roman"/>
          <w:sz w:val="28"/>
          <w:szCs w:val="28"/>
        </w:rPr>
        <w:t>Jaevon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Lolay</w:t>
      </w:r>
      <w:proofErr w:type="spellEnd"/>
      <w:r>
        <w:rPr>
          <w:rFonts w:ascii="Times New Roman" w:eastAsia="Times New Roman" w:hAnsi="Times New Roman" w:cs="Times New Roman"/>
          <w:sz w:val="28"/>
          <w:szCs w:val="28"/>
        </w:rPr>
        <w:t>, expect the ECB to increase its measures in September anyway, and for this to weigh on the euro. If inflation on Thursday, however, is higher-than-expected, that expectation, will diminish, leading to rise in the euro, as stimulus weakens a currency and vis versa</w:t>
      </w:r>
    </w:p>
    <w:p w:rsidR="00AD59AC" w:rsidRPr="007B7BD6" w:rsidRDefault="00AD59AC" w:rsidP="00AD59AC">
      <w:pPr>
        <w:spacing w:before="100" w:beforeAutospacing="1" w:after="100" w:afterAutospacing="1"/>
        <w:rPr>
          <w:rFonts w:ascii="Times New Roman" w:eastAsia="Times New Roman" w:hAnsi="Times New Roman" w:cs="Times New Roman"/>
          <w:sz w:val="28"/>
          <w:szCs w:val="28"/>
        </w:rPr>
      </w:pPr>
      <w:r w:rsidRPr="007B7BD6">
        <w:rPr>
          <w:rFonts w:ascii="Times New Roman" w:eastAsia="Times New Roman" w:hAnsi="Times New Roman" w:cs="Times New Roman"/>
          <w:sz w:val="28"/>
          <w:szCs w:val="28"/>
        </w:rPr>
        <w:t xml:space="preserve">Data for the Dollar. </w:t>
      </w:r>
    </w:p>
    <w:p w:rsidR="00AD59AC" w:rsidRDefault="00AD59AC" w:rsidP="00AD59AC">
      <w:pPr>
        <w:spacing w:before="100" w:beforeAutospacing="1" w:after="100" w:afterAutospacing="1"/>
        <w:rPr>
          <w:rFonts w:ascii="Times New Roman" w:eastAsia="Times New Roman" w:hAnsi="Times New Roman" w:cs="Times New Roman"/>
          <w:sz w:val="28"/>
          <w:szCs w:val="28"/>
        </w:rPr>
      </w:pPr>
      <w:r w:rsidRPr="007B7BD6">
        <w:rPr>
          <w:rFonts w:ascii="Times New Roman" w:eastAsia="Times New Roman" w:hAnsi="Times New Roman" w:cs="Times New Roman"/>
          <w:sz w:val="28"/>
          <w:szCs w:val="28"/>
        </w:rPr>
        <w:t>The week starts with Building Permits on Tuesday August 16,</w:t>
      </w:r>
      <w:r>
        <w:rPr>
          <w:rFonts w:ascii="Times New Roman" w:eastAsia="Times New Roman" w:hAnsi="Times New Roman" w:cs="Times New Roman"/>
          <w:sz w:val="28"/>
          <w:szCs w:val="28"/>
        </w:rPr>
        <w:t xml:space="preserve"> which are expected to show a 0.6% rise; Housing Starts are expected to fall -0.8% mom (from a high previous month’s result). </w:t>
      </w:r>
    </w:p>
    <w:p w:rsidR="00AD59AC" w:rsidRDefault="00AD59AC" w:rsidP="00AD59AC">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These are followed by i</w:t>
      </w:r>
      <w:r w:rsidRPr="007B7BD6">
        <w:rPr>
          <w:rFonts w:ascii="Times New Roman" w:eastAsia="Times New Roman" w:hAnsi="Times New Roman" w:cs="Times New Roman"/>
          <w:sz w:val="28"/>
          <w:szCs w:val="28"/>
        </w:rPr>
        <w:t>nflation data for July, which is f</w:t>
      </w:r>
      <w:r>
        <w:rPr>
          <w:rFonts w:ascii="Times New Roman" w:eastAsia="Times New Roman" w:hAnsi="Times New Roman" w:cs="Times New Roman"/>
          <w:sz w:val="28"/>
          <w:szCs w:val="28"/>
        </w:rPr>
        <w:t>orecast to show a 0.2% rise mom and 0.9% (from a previous 1.0%) year-on-year.</w:t>
      </w:r>
      <w:r w:rsidRPr="007B7BD6">
        <w:rPr>
          <w:rFonts w:ascii="Times New Roman" w:eastAsia="Times New Roman" w:hAnsi="Times New Roman" w:cs="Times New Roman"/>
          <w:sz w:val="28"/>
          <w:szCs w:val="28"/>
        </w:rPr>
        <w:t xml:space="preserve"> </w:t>
      </w:r>
    </w:p>
    <w:p w:rsidR="00AD59AC" w:rsidRPr="007B7BD6" w:rsidRDefault="00AD59AC" w:rsidP="00AD59AC">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Real Average Weekly Earnings in July (</w:t>
      </w:r>
      <w:proofErr w:type="spellStart"/>
      <w:r>
        <w:rPr>
          <w:rFonts w:ascii="Times New Roman" w:eastAsia="Times New Roman" w:hAnsi="Times New Roman" w:cs="Times New Roman"/>
          <w:sz w:val="28"/>
          <w:szCs w:val="28"/>
        </w:rPr>
        <w:t>yoy</w:t>
      </w:r>
      <w:proofErr w:type="spellEnd"/>
      <w:r>
        <w:rPr>
          <w:rFonts w:ascii="Times New Roman" w:eastAsia="Times New Roman" w:hAnsi="Times New Roman" w:cs="Times New Roman"/>
          <w:sz w:val="28"/>
          <w:szCs w:val="28"/>
        </w:rPr>
        <w:t xml:space="preserve">) are also in the calendar for Tuesday and are likely to be closely watched for their potential impact on the Federal Reserve’s anticipated policy trajectory. </w:t>
      </w:r>
    </w:p>
    <w:p w:rsidR="00AD59AC" w:rsidRDefault="00AD59AC" w:rsidP="00AD59AC">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Wednesday the Fed meeting minutes will be released as well as Cushing US Oil Inventories.  Clearly the minutes will be scoured for potential insights into then the next rate hike could be -  although this often overly hyped release often ends in no discernible change in the outlook as it rarely contains new information. </w:t>
      </w:r>
    </w:p>
    <w:p w:rsidR="00AD59AC" w:rsidRPr="007B7BD6" w:rsidRDefault="00AD59AC" w:rsidP="00AD59AC">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week ends with the Philadelphia Fed Manufacturing Index on Thursday August 18, which is forecast to rise to 1.5 from -2.9 previously. </w:t>
      </w:r>
    </w:p>
    <w:p w:rsidR="00AD59AC" w:rsidRDefault="00AD59AC" w:rsidP="00AD59AC">
      <w:pPr>
        <w:rPr>
          <w:sz w:val="28"/>
          <w:szCs w:val="28"/>
        </w:rPr>
      </w:pPr>
      <w:r>
        <w:rPr>
          <w:sz w:val="28"/>
          <w:szCs w:val="28"/>
        </w:rPr>
        <w:t xml:space="preserve">Technical outlook </w:t>
      </w:r>
    </w:p>
    <w:p w:rsidR="00AD59AC" w:rsidRDefault="00AD59AC" w:rsidP="00AD59AC">
      <w:pPr>
        <w:rPr>
          <w:sz w:val="28"/>
          <w:szCs w:val="28"/>
        </w:rPr>
      </w:pPr>
      <w:r>
        <w:rPr>
          <w:sz w:val="28"/>
          <w:szCs w:val="28"/>
        </w:rPr>
        <w:t xml:space="preserve">The single currency’s last rally seems to have been driven in the main by the good news that the Eurozone is unlikely to have been impacted by Brexit as much as was feared. </w:t>
      </w:r>
    </w:p>
    <w:p w:rsidR="00AD59AC" w:rsidRDefault="00AD59AC" w:rsidP="00AD59AC">
      <w:pPr>
        <w:rPr>
          <w:sz w:val="28"/>
          <w:szCs w:val="28"/>
        </w:rPr>
      </w:pPr>
      <w:r>
        <w:rPr>
          <w:sz w:val="28"/>
          <w:szCs w:val="28"/>
        </w:rPr>
        <w:t xml:space="preserve">EUR/USD also appears to have been boosted by a refusal of markets to increase rate rise expectations in the US even after two positive payroll’s results in a row. </w:t>
      </w:r>
    </w:p>
    <w:p w:rsidR="00AD59AC" w:rsidRDefault="00AD59AC" w:rsidP="00AD59AC">
      <w:pPr>
        <w:rPr>
          <w:sz w:val="28"/>
          <w:szCs w:val="28"/>
        </w:rPr>
      </w:pPr>
      <w:r>
        <w:rPr>
          <w:sz w:val="28"/>
          <w:szCs w:val="28"/>
        </w:rPr>
        <w:t xml:space="preserve">This appears to be due to fear about sluggish growth. </w:t>
      </w:r>
    </w:p>
    <w:p w:rsidR="00AD59AC" w:rsidRDefault="00AD59AC" w:rsidP="00AD59AC">
      <w:pPr>
        <w:rPr>
          <w:sz w:val="28"/>
          <w:szCs w:val="28"/>
        </w:rPr>
      </w:pPr>
      <w:proofErr w:type="spellStart"/>
      <w:r>
        <w:rPr>
          <w:sz w:val="28"/>
          <w:szCs w:val="28"/>
        </w:rPr>
        <w:t>Helaba</w:t>
      </w:r>
      <w:proofErr w:type="spellEnd"/>
      <w:r>
        <w:rPr>
          <w:sz w:val="28"/>
          <w:szCs w:val="28"/>
        </w:rPr>
        <w:t xml:space="preserve"> advisory service’s Ralf </w:t>
      </w:r>
      <w:proofErr w:type="spellStart"/>
      <w:r>
        <w:rPr>
          <w:sz w:val="28"/>
          <w:szCs w:val="28"/>
        </w:rPr>
        <w:t>Umlauf</w:t>
      </w:r>
      <w:proofErr w:type="spellEnd"/>
      <w:r>
        <w:rPr>
          <w:sz w:val="28"/>
          <w:szCs w:val="28"/>
        </w:rPr>
        <w:t>, points out that the recoil in oil prices, which have lost over 20% in recent weeks has also dampened inflation expectations, leading to a lower interest rate outlook, especially in the US:</w:t>
      </w:r>
    </w:p>
    <w:p w:rsidR="00AD59AC" w:rsidRDefault="00AD59AC" w:rsidP="00AD59AC">
      <w:pPr>
        <w:rPr>
          <w:sz w:val="28"/>
          <w:szCs w:val="28"/>
        </w:rPr>
      </w:pPr>
      <w:r>
        <w:rPr>
          <w:sz w:val="28"/>
          <w:szCs w:val="28"/>
        </w:rPr>
        <w:t>At first glance from a technical, chart perspective, the pair appears to be completely chaotic and directionless, however, Commerzbank’s Karen Jones p</w:t>
      </w:r>
      <w:r w:rsidR="00865834">
        <w:rPr>
          <w:sz w:val="28"/>
          <w:szCs w:val="28"/>
        </w:rPr>
        <w:t xml:space="preserve">oints out that the pair is closing on a </w:t>
      </w:r>
      <w:r>
        <w:rPr>
          <w:sz w:val="28"/>
          <w:szCs w:val="28"/>
        </w:rPr>
        <w:t xml:space="preserve">major trend-line drawn from 2014-16, which is situated at about 1.1300 (see chart below). </w:t>
      </w:r>
    </w:p>
    <w:p w:rsidR="00AD59AC" w:rsidRDefault="00AD59AC" w:rsidP="00AD59AC">
      <w:pPr>
        <w:rPr>
          <w:sz w:val="28"/>
          <w:szCs w:val="28"/>
        </w:rPr>
      </w:pPr>
      <w:r>
        <w:rPr>
          <w:sz w:val="28"/>
          <w:szCs w:val="28"/>
        </w:rPr>
        <w:t xml:space="preserve">Whilst Jones forecasts this will lead to a rejection and probable move back down within the range, the trend-line represents a ‘make-or-break’ level where, if the rate was capable of breaking above, </w:t>
      </w:r>
      <w:r w:rsidR="00865834">
        <w:rPr>
          <w:sz w:val="28"/>
          <w:szCs w:val="28"/>
        </w:rPr>
        <w:t>confirmed by a move above 1.1330,</w:t>
      </w:r>
      <w:r>
        <w:rPr>
          <w:sz w:val="28"/>
          <w:szCs w:val="28"/>
        </w:rPr>
        <w:t xml:space="preserve"> for example, it would see it take on </w:t>
      </w:r>
      <w:r w:rsidR="00865834">
        <w:rPr>
          <w:sz w:val="28"/>
          <w:szCs w:val="28"/>
        </w:rPr>
        <w:t>a much more bullish perspective, with a move up to 1.1430 initially expected and then possibly, all the way up 1</w:t>
      </w:r>
      <w:r>
        <w:rPr>
          <w:sz w:val="28"/>
          <w:szCs w:val="28"/>
        </w:rPr>
        <w:t xml:space="preserve">.1700. </w:t>
      </w:r>
    </w:p>
    <w:p w:rsidR="00AD59AC" w:rsidRDefault="00AD59AC" w:rsidP="00AD59AC">
      <w:pPr>
        <w:rPr>
          <w:sz w:val="28"/>
          <w:szCs w:val="28"/>
        </w:rPr>
      </w:pPr>
      <w:r>
        <w:rPr>
          <w:sz w:val="28"/>
          <w:szCs w:val="28"/>
        </w:rPr>
        <w:t>Scotiabank’s Ma</w:t>
      </w:r>
      <w:bookmarkStart w:id="0" w:name="_GoBack"/>
      <w:bookmarkEnd w:id="0"/>
      <w:r>
        <w:rPr>
          <w:sz w:val="28"/>
          <w:szCs w:val="28"/>
        </w:rPr>
        <w:t xml:space="preserve">rket Strategist Shaun Osborne, however, sees more upside for the euro, but USD weakness as being “limited”, which seems to support the view that EUR/USD will rise a little higher to the 2-year old trend-line and then be repulsed back down by it. </w:t>
      </w:r>
    </w:p>
    <w:p w:rsidR="00AD59AC" w:rsidRDefault="00AD59AC" w:rsidP="00AD59AC">
      <w:pPr>
        <w:rPr>
          <w:sz w:val="28"/>
          <w:szCs w:val="28"/>
        </w:rPr>
      </w:pPr>
      <w:r>
        <w:rPr>
          <w:sz w:val="28"/>
          <w:szCs w:val="28"/>
        </w:rPr>
        <w:t xml:space="preserve">We see the pair as difficult to analyse, but a clear break above the trend-line, signalled by a move above 1.1350 for example, would be a sign of bullishness, with a target at the 1.17 range highs, based on the height of the move previous to the break extrapolated at the point of the break higher. </w:t>
      </w:r>
    </w:p>
    <w:p w:rsidR="00AD59AC" w:rsidRPr="00C53CD2" w:rsidRDefault="00AD59AC" w:rsidP="00AD59AC">
      <w:pPr>
        <w:rPr>
          <w:sz w:val="28"/>
          <w:szCs w:val="28"/>
        </w:rPr>
      </w:pPr>
      <w:r>
        <w:rPr>
          <w:sz w:val="28"/>
          <w:szCs w:val="28"/>
        </w:rPr>
        <w:t>Pic</w:t>
      </w:r>
    </w:p>
    <w:p w:rsidR="00AD59AC" w:rsidRPr="00AD59AC" w:rsidRDefault="00AD59AC" w:rsidP="00AD59AC">
      <w:pPr>
        <w:rPr>
          <w:sz w:val="28"/>
          <w:szCs w:val="28"/>
        </w:rPr>
      </w:pPr>
    </w:p>
    <w:sectPr w:rsidR="00AD59AC" w:rsidRPr="00AD59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og" w:val="1"/>
  </w:docVars>
  <w:rsids>
    <w:rsidRoot w:val="00AD59AC"/>
    <w:rsid w:val="00865834"/>
    <w:rsid w:val="00AD59AC"/>
    <w:rsid w:val="00DD5834"/>
    <w:rsid w:val="00F03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4C89"/>
  <w15:docId w15:val="{063E7E5F-E0BC-46C6-BAD1-F364E915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GB" w:eastAsia="en-GB" w:bidi="ar-SA"/>
      </w:rPr>
    </w:rPrDefault>
    <w:pPrDefault>
      <w:pPr>
        <w:spacing w:after="200"/>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2" w:qFormat="1"/>
    <w:lsdException w:name="heading 4" w:semiHidden="1" w:uiPriority="2"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19" w:qFormat="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lsdException w:name="Mention" w:semiHidden="1"/>
    <w:lsdException w:name="Smart Hyperlink" w:semiHidden="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met\AppData\Roaming\Microsoft\Templates\Blog%20po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12082"/>
        <w:category>
          <w:name w:val="General"/>
          <w:gallery w:val="placeholder"/>
        </w:category>
        <w:types>
          <w:type w:val="bbPlcHdr"/>
        </w:types>
        <w:behaviors>
          <w:behavior w:val="content"/>
        </w:behaviors>
        <w:guid w:val="{1AA87A3C-7235-4872-A46B-C9F6EE64DA0A}"/>
      </w:docPartPr>
      <w:docPartBody>
        <w:p w:rsidR="00000000" w:rsidRDefault="00B0489D">
          <w:r w:rsidRPr="002E7D16">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9D"/>
    <w:rsid w:val="005539C6"/>
    <w:rsid w:val="00B04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8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logPostInfo xmlns="http://www.microsoft.com/Office/Word/BlogTool">
  <PostTitle>Euro to US Dollar Outlook for the Week Ahead</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Props1.xml><?xml version="1.0" encoding="utf-8"?>
<ds:datastoreItem xmlns:ds="http://schemas.openxmlformats.org/officeDocument/2006/customXml" ds:itemID="{5D1E2072-A7E3-4DAE-9149-608034D634FC}">
  <ds:schemaRefs>
    <ds:schemaRef ds:uri="http://schemas.microsoft.com/sharepoint/v3/contenttype/forms"/>
  </ds:schemaRefs>
</ds:datastoreItem>
</file>

<file path=customXml/itemProps2.xml><?xml version="1.0" encoding="utf-8"?>
<ds:datastoreItem xmlns:ds="http://schemas.openxmlformats.org/officeDocument/2006/customXml" ds:itemID="{5F329CAD-B019-4FA6-9FEF-74898909AD20}">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Blog post</Template>
  <TotalTime>49</TotalTime>
  <Pages>1</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Monfort</dc:creator>
  <cp:keywords/>
  <dc:description/>
  <cp:lastModifiedBy>Joaquin Monfort</cp:lastModifiedBy>
  <cp:revision>1</cp:revision>
  <dcterms:created xsi:type="dcterms:W3CDTF">2016-08-12T11:15:00Z</dcterms:created>
  <dcterms:modified xsi:type="dcterms:W3CDTF">2016-08-13T17:02:00Z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TC028435959991</vt:lpwstr>
  </property>
</Properties>
</file>