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23" w:rsidRDefault="00833D23">
      <w:pPr>
        <w:rPr>
          <w:sz w:val="28"/>
          <w:szCs w:val="28"/>
        </w:rPr>
      </w:pPr>
      <w:r w:rsidRPr="00833D23">
        <w:rPr>
          <w:sz w:val="28"/>
          <w:szCs w:val="28"/>
        </w:rPr>
        <w:t>Euro to Pound Exchange Rate – Stuck in No-Man’s Land with Bearish Bias</w:t>
      </w:r>
      <w:r w:rsidRPr="00833D23">
        <w:rPr>
          <w:sz w:val="28"/>
          <w:szCs w:val="28"/>
        </w:rPr>
        <w:br/>
      </w:r>
      <w:r w:rsidRPr="00833D23">
        <w:rPr>
          <w:sz w:val="28"/>
          <w:szCs w:val="28"/>
        </w:rPr>
        <w:br/>
        <w:t xml:space="preserve">The EUR/GBP exchange rate has been consolidating within a range between about 0.8300 and 0.8700 since November 2016. </w:t>
      </w:r>
      <w:r w:rsidRPr="00833D23">
        <w:rPr>
          <w:sz w:val="28"/>
          <w:szCs w:val="28"/>
        </w:rPr>
        <w:br/>
      </w:r>
    </w:p>
    <w:p w:rsidR="00833D23" w:rsidRDefault="00833D23">
      <w:pPr>
        <w:rPr>
          <w:sz w:val="28"/>
          <w:szCs w:val="28"/>
        </w:rPr>
      </w:pPr>
      <w:r w:rsidRPr="00833D23">
        <w:rPr>
          <w:sz w:val="28"/>
          <w:szCs w:val="28"/>
        </w:rPr>
        <w:t xml:space="preserve">The next move is more likely to probe lower than higher according to analysts at J.P Morgan, who see the 0.9400 October highs as marking an important long-term top. </w:t>
      </w:r>
      <w:r w:rsidRPr="00833D23">
        <w:rPr>
          <w:sz w:val="28"/>
          <w:szCs w:val="28"/>
        </w:rPr>
        <w:br/>
      </w:r>
    </w:p>
    <w:p w:rsidR="00833D23" w:rsidRDefault="00833D23">
      <w:pPr>
        <w:rPr>
          <w:sz w:val="28"/>
          <w:szCs w:val="28"/>
        </w:rPr>
      </w:pPr>
      <w:r w:rsidRPr="00833D23">
        <w:rPr>
          <w:sz w:val="28"/>
          <w:szCs w:val="28"/>
        </w:rPr>
        <w:t>“Taken together we see a high likelihood that a sustainable high has been marked at 0.9403 in October and that a much broader down-consolidation if not a new downtrend has been launched. The former has a minimum price target of 0.8168 (50 % of the 2015-2016 rally) but the decline m</w:t>
      </w:r>
      <w:r w:rsidR="00DB4760">
        <w:rPr>
          <w:sz w:val="28"/>
          <w:szCs w:val="28"/>
        </w:rPr>
        <w:t xml:space="preserve">ight not be straight forward.” </w:t>
      </w:r>
    </w:p>
    <w:p w:rsidR="00EE0487" w:rsidRDefault="00EE0487">
      <w:pPr>
        <w:rPr>
          <w:sz w:val="28"/>
          <w:szCs w:val="28"/>
        </w:rPr>
      </w:pPr>
      <w:r>
        <w:rPr>
          <w:sz w:val="28"/>
          <w:szCs w:val="28"/>
        </w:rPr>
        <w:t xml:space="preserve">Pic </w:t>
      </w:r>
    </w:p>
    <w:p w:rsidR="00EE0487" w:rsidRDefault="00EE0487">
      <w:pPr>
        <w:rPr>
          <w:sz w:val="28"/>
          <w:szCs w:val="28"/>
        </w:rPr>
      </w:pPr>
      <w:r>
        <w:rPr>
          <w:sz w:val="28"/>
          <w:szCs w:val="28"/>
        </w:rPr>
        <w:t xml:space="preserve">We concur with </w:t>
      </w:r>
      <w:r w:rsidR="00DB4760">
        <w:rPr>
          <w:sz w:val="28"/>
          <w:szCs w:val="28"/>
        </w:rPr>
        <w:t xml:space="preserve">J. P Morgan’s view that the 0.9403 highs mark a “sustainable high”, given the shape of the top is very much in line with other comparable historical highs, and is therefore unlikely to be surpassed in the short to medium-term. </w:t>
      </w:r>
    </w:p>
    <w:p w:rsidR="00DB4760" w:rsidRDefault="00DB4760">
      <w:pPr>
        <w:rPr>
          <w:sz w:val="28"/>
          <w:szCs w:val="28"/>
        </w:rPr>
      </w:pPr>
      <w:r>
        <w:rPr>
          <w:sz w:val="28"/>
          <w:szCs w:val="28"/>
        </w:rPr>
        <w:t xml:space="preserve">Pic </w:t>
      </w:r>
    </w:p>
    <w:p w:rsidR="00DB4760" w:rsidRDefault="00DB4760">
      <w:pPr>
        <w:rPr>
          <w:sz w:val="28"/>
          <w:szCs w:val="28"/>
        </w:rPr>
      </w:pPr>
      <w:r>
        <w:rPr>
          <w:sz w:val="28"/>
          <w:szCs w:val="28"/>
        </w:rPr>
        <w:t xml:space="preserve">The exchange rate is currently trading right on top of a major trendline drawn from the late 2016 lows, however, a break below would be a very bearish sign, changing the overall tenor of the chart to one that is much more negative. Such a break would probably be confirmed by a move below 0.8400. </w:t>
      </w:r>
    </w:p>
    <w:p w:rsidR="00DB4760" w:rsidRDefault="00DB4760">
      <w:pPr>
        <w:rPr>
          <w:sz w:val="28"/>
          <w:szCs w:val="28"/>
        </w:rPr>
      </w:pPr>
      <w:r>
        <w:rPr>
          <w:sz w:val="28"/>
          <w:szCs w:val="28"/>
        </w:rPr>
        <w:t xml:space="preserve">The trendline break would be expected to follow-through to the J P Morgan target at 0.8168. </w:t>
      </w:r>
    </w:p>
    <w:p w:rsidR="00DB4760" w:rsidRDefault="00DB4760">
      <w:pPr>
        <w:rPr>
          <w:sz w:val="28"/>
          <w:szCs w:val="28"/>
        </w:rPr>
      </w:pPr>
      <w:r>
        <w:rPr>
          <w:sz w:val="28"/>
          <w:szCs w:val="28"/>
        </w:rPr>
        <w:t xml:space="preserve">The diverging MACD momentum study </w:t>
      </w:r>
      <w:r w:rsidR="00795329">
        <w:rPr>
          <w:sz w:val="28"/>
          <w:szCs w:val="28"/>
        </w:rPr>
        <w:t xml:space="preserve">in the bottom pane of the </w:t>
      </w:r>
      <w:r>
        <w:rPr>
          <w:sz w:val="28"/>
          <w:szCs w:val="28"/>
        </w:rPr>
        <w:t xml:space="preserve">weekly chart is another persuasive sign the pair is likely to sell off. </w:t>
      </w:r>
    </w:p>
    <w:p w:rsidR="00DB4760" w:rsidRDefault="00DB4760">
      <w:pPr>
        <w:rPr>
          <w:sz w:val="28"/>
          <w:szCs w:val="28"/>
        </w:rPr>
      </w:pPr>
      <w:r>
        <w:rPr>
          <w:sz w:val="28"/>
          <w:szCs w:val="28"/>
        </w:rPr>
        <w:t xml:space="preserve">Note how the MACD is falling but the exchange rate is </w:t>
      </w:r>
      <w:r w:rsidR="00795329">
        <w:rPr>
          <w:sz w:val="28"/>
          <w:szCs w:val="28"/>
        </w:rPr>
        <w:t xml:space="preserve">not – but is </w:t>
      </w:r>
      <w:r>
        <w:rPr>
          <w:sz w:val="28"/>
          <w:szCs w:val="28"/>
        </w:rPr>
        <w:t xml:space="preserve">going sideways </w:t>
      </w:r>
      <w:r w:rsidR="00795329">
        <w:rPr>
          <w:sz w:val="28"/>
          <w:szCs w:val="28"/>
        </w:rPr>
        <w:t xml:space="preserve">instead </w:t>
      </w:r>
      <w:r>
        <w:rPr>
          <w:sz w:val="28"/>
          <w:szCs w:val="28"/>
        </w:rPr>
        <w:t xml:space="preserve">– this indicates underlying weakness not reflected in the price, and can be a pre-cursor to more weakness. </w:t>
      </w:r>
    </w:p>
    <w:p w:rsidR="00DB4760" w:rsidRDefault="00DB4760">
      <w:pPr>
        <w:rPr>
          <w:sz w:val="28"/>
          <w:szCs w:val="28"/>
        </w:rPr>
      </w:pPr>
    </w:p>
    <w:p w:rsidR="00EE0487" w:rsidRDefault="00EE0487">
      <w:pPr>
        <w:rPr>
          <w:sz w:val="28"/>
          <w:szCs w:val="28"/>
        </w:rPr>
      </w:pPr>
    </w:p>
    <w:p w:rsidR="00833D23" w:rsidRDefault="00833D23">
      <w:pPr>
        <w:rPr>
          <w:sz w:val="28"/>
          <w:szCs w:val="28"/>
        </w:rPr>
      </w:pPr>
      <w:r w:rsidRPr="00833D23">
        <w:rPr>
          <w:sz w:val="28"/>
          <w:szCs w:val="28"/>
        </w:rPr>
        <w:lastRenderedPageBreak/>
        <w:br/>
      </w:r>
    </w:p>
    <w:p w:rsidR="00EE0487" w:rsidRDefault="00EE0487">
      <w:pPr>
        <w:rPr>
          <w:b/>
          <w:sz w:val="28"/>
          <w:szCs w:val="28"/>
        </w:rPr>
      </w:pPr>
    </w:p>
    <w:p w:rsidR="005172E1" w:rsidRPr="00833D23" w:rsidRDefault="005172E1">
      <w:pPr>
        <w:rPr>
          <w:sz w:val="28"/>
          <w:szCs w:val="28"/>
        </w:rPr>
      </w:pPr>
      <w:bookmarkStart w:id="0" w:name="_GoBack"/>
      <w:bookmarkEnd w:id="0"/>
    </w:p>
    <w:sectPr w:rsidR="005172E1" w:rsidRPr="00833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23"/>
    <w:rsid w:val="00033509"/>
    <w:rsid w:val="005172E1"/>
    <w:rsid w:val="005243C7"/>
    <w:rsid w:val="00795329"/>
    <w:rsid w:val="00833D23"/>
    <w:rsid w:val="0092614C"/>
    <w:rsid w:val="00B04EAB"/>
    <w:rsid w:val="00CD07F3"/>
    <w:rsid w:val="00DB4760"/>
    <w:rsid w:val="00E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7CD4"/>
  <w15:chartTrackingRefBased/>
  <w15:docId w15:val="{CCFFACE8-FAFE-4768-B98C-0839E400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Monfort</dc:creator>
  <cp:keywords/>
  <dc:description/>
  <cp:lastModifiedBy>Joaquin Monfort</cp:lastModifiedBy>
  <cp:revision>1</cp:revision>
  <dcterms:created xsi:type="dcterms:W3CDTF">2017-04-10T08:22:00Z</dcterms:created>
  <dcterms:modified xsi:type="dcterms:W3CDTF">2017-04-10T09:23:00Z</dcterms:modified>
</cp:coreProperties>
</file>